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551"/>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4490"/>
        <w:gridCol w:w="1121"/>
        <w:gridCol w:w="1615"/>
      </w:tblGrid>
      <w:tr w:rsidR="007701F3" w:rsidRPr="00D1738C" w14:paraId="7F739842" w14:textId="77777777" w:rsidTr="00130B03">
        <w:trPr>
          <w:trHeight w:val="244"/>
        </w:trPr>
        <w:tc>
          <w:tcPr>
            <w:tcW w:w="1139" w:type="pct"/>
            <w:tcBorders>
              <w:top w:val="double" w:sz="4" w:space="0" w:color="auto"/>
              <w:left w:val="double" w:sz="4" w:space="0" w:color="auto"/>
              <w:bottom w:val="double" w:sz="4" w:space="0" w:color="auto"/>
              <w:right w:val="double" w:sz="4" w:space="0" w:color="auto"/>
            </w:tcBorders>
            <w:shd w:val="clear" w:color="auto" w:fill="ABBB59"/>
            <w:vAlign w:val="center"/>
          </w:tcPr>
          <w:p w14:paraId="322E64F5" w14:textId="77777777" w:rsidR="007701F3" w:rsidRPr="00D1738C" w:rsidRDefault="007701F3" w:rsidP="00130B03">
            <w:pPr>
              <w:keepLines/>
              <w:widowControl w:val="0"/>
              <w:spacing w:before="60" w:after="60" w:line="240" w:lineRule="auto"/>
              <w:rPr>
                <w:rFonts w:cs="Tahoma"/>
                <w:b/>
                <w:szCs w:val="20"/>
              </w:rPr>
            </w:pPr>
            <w:bookmarkStart w:id="0" w:name="_Hlk166584167"/>
            <w:r w:rsidRPr="00D1738C">
              <w:rPr>
                <w:rFonts w:cs="Tahoma"/>
                <w:b/>
                <w:color w:val="FFFFFF" w:themeColor="background1"/>
                <w:szCs w:val="20"/>
              </w:rPr>
              <w:t>Název služby</w:t>
            </w:r>
          </w:p>
        </w:tc>
        <w:tc>
          <w:tcPr>
            <w:tcW w:w="2399" w:type="pct"/>
            <w:tcBorders>
              <w:top w:val="double" w:sz="4" w:space="0" w:color="auto"/>
              <w:left w:val="double" w:sz="4" w:space="0" w:color="auto"/>
              <w:bottom w:val="double" w:sz="4" w:space="0" w:color="auto"/>
              <w:right w:val="double" w:sz="4" w:space="0" w:color="auto"/>
            </w:tcBorders>
            <w:shd w:val="clear" w:color="auto" w:fill="auto"/>
            <w:vAlign w:val="center"/>
          </w:tcPr>
          <w:p w14:paraId="0969A3FA" w14:textId="5722D71A" w:rsidR="007701F3" w:rsidRPr="007701F3" w:rsidRDefault="00E574D8" w:rsidP="00130B03">
            <w:pPr>
              <w:pStyle w:val="Zkladntext"/>
              <w:keepLines/>
              <w:widowControl w:val="0"/>
              <w:spacing w:before="60" w:after="60" w:line="240" w:lineRule="auto"/>
              <w:rPr>
                <w:rFonts w:cs="Tahoma"/>
                <w:b/>
                <w:szCs w:val="20"/>
              </w:rPr>
            </w:pPr>
            <w:bookmarkStart w:id="1" w:name="_Toc89965254"/>
            <w:bookmarkStart w:id="2" w:name="_Toc116401756"/>
            <w:proofErr w:type="gramStart"/>
            <w:r>
              <w:rPr>
                <w:rFonts w:cs="Tahoma"/>
                <w:b/>
                <w:szCs w:val="20"/>
              </w:rPr>
              <w:t>ITSM-</w:t>
            </w:r>
            <w:r w:rsidR="007701F3" w:rsidRPr="007701F3">
              <w:rPr>
                <w:rFonts w:cs="Tahoma"/>
                <w:b/>
                <w:szCs w:val="20"/>
              </w:rPr>
              <w:t xml:space="preserve"> Služby</w:t>
            </w:r>
            <w:proofErr w:type="gramEnd"/>
            <w:r w:rsidR="007701F3" w:rsidRPr="007701F3">
              <w:rPr>
                <w:rFonts w:cs="Tahoma"/>
                <w:b/>
                <w:szCs w:val="20"/>
              </w:rPr>
              <w:t xml:space="preserve"> řádného provozu</w:t>
            </w:r>
            <w:bookmarkEnd w:id="1"/>
            <w:bookmarkEnd w:id="2"/>
          </w:p>
          <w:p w14:paraId="38E3E093" w14:textId="0E69BC4E" w:rsidR="007701F3" w:rsidRPr="00D1738C" w:rsidRDefault="007701F3" w:rsidP="00130B03">
            <w:pPr>
              <w:keepLines/>
              <w:widowControl w:val="0"/>
              <w:spacing w:before="60" w:after="60" w:line="288" w:lineRule="auto"/>
              <w:contextualSpacing/>
              <w:rPr>
                <w:rFonts w:cs="Tahoma"/>
                <w:b/>
                <w:szCs w:val="20"/>
              </w:rPr>
            </w:pPr>
          </w:p>
        </w:tc>
        <w:tc>
          <w:tcPr>
            <w:tcW w:w="599" w:type="pct"/>
            <w:tcBorders>
              <w:top w:val="double" w:sz="4" w:space="0" w:color="auto"/>
              <w:left w:val="double" w:sz="4" w:space="0" w:color="auto"/>
              <w:bottom w:val="double" w:sz="4" w:space="0" w:color="auto"/>
              <w:right w:val="double" w:sz="4" w:space="0" w:color="auto"/>
            </w:tcBorders>
            <w:shd w:val="clear" w:color="auto" w:fill="ABBB59"/>
            <w:vAlign w:val="center"/>
          </w:tcPr>
          <w:p w14:paraId="192B2B84" w14:textId="77777777" w:rsidR="007701F3" w:rsidRPr="00D1738C" w:rsidRDefault="007701F3" w:rsidP="00130B03">
            <w:pPr>
              <w:pStyle w:val="Zkladntext"/>
              <w:keepLines/>
              <w:widowControl w:val="0"/>
              <w:spacing w:before="60" w:after="60" w:line="240" w:lineRule="auto"/>
              <w:rPr>
                <w:rFonts w:cs="Tahoma"/>
                <w:b/>
                <w:szCs w:val="20"/>
              </w:rPr>
            </w:pPr>
            <w:r w:rsidRPr="00D1738C">
              <w:rPr>
                <w:rFonts w:cs="Tahoma"/>
                <w:b/>
                <w:color w:val="FFFFFF" w:themeColor="background1"/>
                <w:szCs w:val="20"/>
              </w:rPr>
              <w:t>TYP KL:</w:t>
            </w:r>
          </w:p>
        </w:tc>
        <w:tc>
          <w:tcPr>
            <w:tcW w:w="863" w:type="pct"/>
            <w:tcBorders>
              <w:top w:val="double" w:sz="4" w:space="0" w:color="auto"/>
              <w:left w:val="double" w:sz="4" w:space="0" w:color="auto"/>
              <w:bottom w:val="double" w:sz="4" w:space="0" w:color="auto"/>
              <w:right w:val="double" w:sz="4" w:space="0" w:color="auto"/>
            </w:tcBorders>
            <w:shd w:val="clear" w:color="auto" w:fill="auto"/>
            <w:vAlign w:val="center"/>
          </w:tcPr>
          <w:p w14:paraId="28311EB4" w14:textId="1BA4B086" w:rsidR="007701F3" w:rsidRPr="00D1738C" w:rsidRDefault="00130B03" w:rsidP="00130B03">
            <w:pPr>
              <w:pStyle w:val="Zkladntext"/>
              <w:keepLines/>
              <w:widowControl w:val="0"/>
              <w:spacing w:before="60" w:after="60" w:line="240" w:lineRule="auto"/>
              <w:jc w:val="right"/>
              <w:rPr>
                <w:rFonts w:cs="Tahoma"/>
                <w:b/>
                <w:szCs w:val="20"/>
              </w:rPr>
            </w:pPr>
            <w:r>
              <w:rPr>
                <w:rFonts w:cs="Tahoma"/>
                <w:b/>
                <w:szCs w:val="20"/>
              </w:rPr>
              <w:t xml:space="preserve">ITSM – 001 </w:t>
            </w:r>
            <w:r w:rsidR="007701F3" w:rsidRPr="00D1738C">
              <w:rPr>
                <w:rFonts w:cs="Tahoma"/>
                <w:b/>
                <w:szCs w:val="20"/>
              </w:rPr>
              <w:t>Paušální</w:t>
            </w:r>
          </w:p>
        </w:tc>
      </w:tr>
      <w:tr w:rsidR="007701F3" w:rsidRPr="00D1738C" w14:paraId="00A2D848" w14:textId="77777777" w:rsidTr="00130B03">
        <w:trPr>
          <w:trHeight w:val="237"/>
        </w:trPr>
        <w:tc>
          <w:tcPr>
            <w:tcW w:w="1139" w:type="pct"/>
            <w:tcBorders>
              <w:top w:val="single" w:sz="6" w:space="0" w:color="auto"/>
              <w:left w:val="double" w:sz="4" w:space="0" w:color="auto"/>
              <w:bottom w:val="single" w:sz="6" w:space="0" w:color="auto"/>
              <w:right w:val="single" w:sz="6" w:space="0" w:color="auto"/>
            </w:tcBorders>
            <w:vAlign w:val="center"/>
          </w:tcPr>
          <w:p w14:paraId="10A51703" w14:textId="77777777" w:rsidR="007701F3" w:rsidRPr="00D1738C" w:rsidRDefault="007701F3" w:rsidP="00130B03">
            <w:pPr>
              <w:pStyle w:val="Zkladntext"/>
              <w:keepLines/>
              <w:widowControl w:val="0"/>
              <w:spacing w:before="60" w:after="60" w:line="240" w:lineRule="auto"/>
              <w:rPr>
                <w:rFonts w:cs="Tahoma"/>
                <w:b/>
                <w:szCs w:val="20"/>
              </w:rPr>
            </w:pPr>
            <w:r w:rsidRPr="00D1738C">
              <w:rPr>
                <w:rFonts w:cs="Tahoma"/>
                <w:b/>
                <w:szCs w:val="20"/>
              </w:rPr>
              <w:t>Zkrácený popis služby</w:t>
            </w:r>
          </w:p>
        </w:tc>
        <w:tc>
          <w:tcPr>
            <w:tcW w:w="3861" w:type="pct"/>
            <w:gridSpan w:val="3"/>
            <w:tcBorders>
              <w:top w:val="single" w:sz="6" w:space="0" w:color="auto"/>
              <w:left w:val="single" w:sz="6" w:space="0" w:color="auto"/>
              <w:bottom w:val="single" w:sz="6" w:space="0" w:color="auto"/>
              <w:right w:val="double" w:sz="4" w:space="0" w:color="auto"/>
            </w:tcBorders>
            <w:vAlign w:val="center"/>
          </w:tcPr>
          <w:p w14:paraId="28708B75" w14:textId="0E83A433" w:rsidR="007701F3" w:rsidRPr="007701F3" w:rsidRDefault="007701F3" w:rsidP="00130B03">
            <w:pPr>
              <w:rPr>
                <w:rFonts w:cstheme="minorHAnsi"/>
              </w:rPr>
            </w:pPr>
            <w:r w:rsidRPr="002A1C51">
              <w:rPr>
                <w:rFonts w:cstheme="minorHAnsi"/>
              </w:rPr>
              <w:t xml:space="preserve">Zajištění řádného provozu aplikačních prvků řešení a </w:t>
            </w:r>
            <w:proofErr w:type="spellStart"/>
            <w:r w:rsidRPr="002A1C51">
              <w:rPr>
                <w:rFonts w:cstheme="minorHAnsi"/>
              </w:rPr>
              <w:t>middleware</w:t>
            </w:r>
            <w:proofErr w:type="spellEnd"/>
            <w:r w:rsidRPr="002A1C51">
              <w:rPr>
                <w:rFonts w:cstheme="minorHAnsi"/>
              </w:rPr>
              <w:t xml:space="preserve"> v souladu s provozní dokumentací </w:t>
            </w:r>
            <w:r w:rsidRPr="0030373E">
              <w:rPr>
                <w:rFonts w:cstheme="minorHAnsi"/>
                <w:szCs w:val="20"/>
              </w:rPr>
              <w:t>ITSM platformy</w:t>
            </w:r>
            <w:r w:rsidRPr="002A1C51">
              <w:rPr>
                <w:rFonts w:cstheme="minorHAnsi"/>
              </w:rPr>
              <w:t xml:space="preserve">. </w:t>
            </w:r>
          </w:p>
        </w:tc>
      </w:tr>
      <w:tr w:rsidR="007701F3" w:rsidRPr="0066390A" w14:paraId="4F756633" w14:textId="77777777" w:rsidTr="00130B03">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024FEE4B" w14:textId="77777777" w:rsidR="007701F3" w:rsidRPr="00D1738C" w:rsidRDefault="007701F3" w:rsidP="00130B03">
            <w:pPr>
              <w:keepLines/>
              <w:widowControl w:val="0"/>
              <w:spacing w:before="60" w:after="60" w:line="240" w:lineRule="auto"/>
              <w:rPr>
                <w:rFonts w:cs="Tahoma"/>
                <w:szCs w:val="20"/>
              </w:rPr>
            </w:pPr>
            <w:r w:rsidRPr="00D1738C">
              <w:rPr>
                <w:rFonts w:cs="Tahoma"/>
                <w:b/>
                <w:color w:val="FFFFFF" w:themeColor="background1"/>
                <w:szCs w:val="20"/>
              </w:rPr>
              <w:t>DEFINICE SLUŽBY A POŽADOVANÝCH ČINNOSTÍ</w:t>
            </w:r>
          </w:p>
        </w:tc>
      </w:tr>
      <w:tr w:rsidR="007701F3" w:rsidRPr="0066390A" w14:paraId="5BC9D779" w14:textId="77777777" w:rsidTr="00130B03">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67342E99" w14:textId="77777777" w:rsidR="00360AFC" w:rsidRPr="00360AFC" w:rsidRDefault="00360AFC" w:rsidP="00130B03">
            <w:pPr>
              <w:keepLines/>
              <w:widowControl w:val="0"/>
              <w:spacing w:before="60" w:after="60" w:line="288" w:lineRule="auto"/>
              <w:contextualSpacing/>
              <w:rPr>
                <w:rFonts w:cstheme="minorHAnsi"/>
                <w:b/>
                <w:bCs/>
              </w:rPr>
            </w:pPr>
            <w:r w:rsidRPr="00360AFC">
              <w:rPr>
                <w:rFonts w:cstheme="minorHAnsi"/>
                <w:b/>
                <w:bCs/>
              </w:rPr>
              <w:t>Standardních služby</w:t>
            </w:r>
          </w:p>
          <w:p w14:paraId="722DEEEF" w14:textId="64F8D017" w:rsidR="00360AFC" w:rsidRPr="00360AFC" w:rsidRDefault="00360AFC" w:rsidP="00130B03">
            <w:pPr>
              <w:keepLines/>
              <w:widowControl w:val="0"/>
              <w:spacing w:line="288" w:lineRule="auto"/>
              <w:contextualSpacing/>
              <w:rPr>
                <w:rFonts w:cstheme="minorHAnsi"/>
              </w:rPr>
            </w:pPr>
            <w:r w:rsidRPr="00360AFC">
              <w:rPr>
                <w:rFonts w:cstheme="minorHAnsi"/>
              </w:rPr>
              <w:t>Zajištění provozu, dostupnosti a funkčnosti ITSM platformy MZe a s tím souvisejících činností</w:t>
            </w:r>
            <w:r w:rsidR="000424FB">
              <w:rPr>
                <w:rFonts w:cstheme="minorHAnsi"/>
              </w:rPr>
              <w:t>.</w:t>
            </w:r>
          </w:p>
          <w:p w14:paraId="001C0175" w14:textId="77777777" w:rsidR="007701F3" w:rsidRPr="002A1C51" w:rsidRDefault="007701F3" w:rsidP="00130B03">
            <w:pPr>
              <w:pStyle w:val="Odstavecseseznamem"/>
              <w:spacing w:after="80" w:line="276" w:lineRule="auto"/>
              <w:jc w:val="both"/>
              <w:rPr>
                <w:rFonts w:cstheme="minorHAnsi"/>
              </w:rPr>
            </w:pPr>
            <w:r w:rsidRPr="00360AFC">
              <w:rPr>
                <w:rFonts w:cstheme="minorHAnsi"/>
                <w:b/>
                <w:bCs/>
              </w:rPr>
              <w:t>Služba zahrnuje</w:t>
            </w:r>
            <w:r w:rsidRPr="002A1C51">
              <w:rPr>
                <w:rFonts w:cstheme="minorHAnsi"/>
              </w:rPr>
              <w:t>:</w:t>
            </w:r>
          </w:p>
          <w:p w14:paraId="4D70A831" w14:textId="77777777" w:rsidR="007701F3" w:rsidRPr="002A1C51" w:rsidRDefault="007701F3" w:rsidP="00130B03">
            <w:pPr>
              <w:pStyle w:val="Odstavecseseznamem"/>
              <w:numPr>
                <w:ilvl w:val="0"/>
                <w:numId w:val="5"/>
              </w:numPr>
              <w:spacing w:after="80" w:line="276" w:lineRule="auto"/>
              <w:jc w:val="both"/>
              <w:rPr>
                <w:rFonts w:cstheme="minorHAnsi"/>
              </w:rPr>
            </w:pPr>
            <w:r w:rsidRPr="002A1C51">
              <w:rPr>
                <w:rFonts w:cstheme="minorHAnsi"/>
              </w:rPr>
              <w:t>provádění profylaxe a provozních úkonů spojených se zajištěním řádného provozu,</w:t>
            </w:r>
          </w:p>
          <w:p w14:paraId="75F12C9A" w14:textId="77777777" w:rsidR="007701F3" w:rsidRPr="002A1C51" w:rsidRDefault="007701F3" w:rsidP="00130B03">
            <w:pPr>
              <w:pStyle w:val="Odstavecseseznamem"/>
              <w:numPr>
                <w:ilvl w:val="0"/>
                <w:numId w:val="5"/>
              </w:numPr>
              <w:spacing w:after="80" w:line="276" w:lineRule="auto"/>
              <w:jc w:val="both"/>
              <w:rPr>
                <w:rFonts w:cstheme="minorHAnsi"/>
              </w:rPr>
            </w:pPr>
            <w:r w:rsidRPr="002A1C51">
              <w:rPr>
                <w:rFonts w:cstheme="minorHAnsi"/>
              </w:rPr>
              <w:t>měření kvality a dostupnosti služeb a iniciování korektivních a preventivních služeb podpory v případě detekce stavu, který je spouštěčem těchto služeb, nebo služeb souvisejících se zajištěním řádného chodu řešení zajišťovaných subjekty 3. stran či Objednatelem,</w:t>
            </w:r>
          </w:p>
          <w:p w14:paraId="4048FF24" w14:textId="77777777" w:rsidR="007701F3" w:rsidRPr="002A1C51" w:rsidRDefault="007701F3" w:rsidP="00130B03">
            <w:pPr>
              <w:pStyle w:val="Odstavecseseznamem"/>
              <w:numPr>
                <w:ilvl w:val="0"/>
                <w:numId w:val="5"/>
              </w:numPr>
              <w:spacing w:after="80" w:line="276" w:lineRule="auto"/>
              <w:jc w:val="both"/>
              <w:rPr>
                <w:rFonts w:cstheme="minorHAnsi"/>
              </w:rPr>
            </w:pPr>
            <w:r w:rsidRPr="002A1C51">
              <w:rPr>
                <w:rFonts w:cstheme="minorHAnsi"/>
              </w:rPr>
              <w:t>správa certifikátů,</w:t>
            </w:r>
          </w:p>
          <w:p w14:paraId="4B70D0D5" w14:textId="77777777" w:rsidR="007701F3" w:rsidRPr="00130B03" w:rsidRDefault="007701F3" w:rsidP="00130B03">
            <w:pPr>
              <w:pStyle w:val="Odstavecseseznamem"/>
              <w:numPr>
                <w:ilvl w:val="0"/>
                <w:numId w:val="5"/>
              </w:numPr>
              <w:spacing w:after="80" w:line="276" w:lineRule="auto"/>
              <w:jc w:val="both"/>
              <w:rPr>
                <w:rFonts w:cstheme="minorHAnsi"/>
              </w:rPr>
            </w:pPr>
            <w:r w:rsidRPr="002A1C51">
              <w:rPr>
                <w:rFonts w:cstheme="minorHAnsi"/>
              </w:rPr>
              <w:t xml:space="preserve">kontrola, analýza a instalace patchů, </w:t>
            </w:r>
            <w:proofErr w:type="spellStart"/>
            <w:r w:rsidRPr="002A1C51">
              <w:rPr>
                <w:rFonts w:cstheme="minorHAnsi"/>
              </w:rPr>
              <w:t>hotfixů</w:t>
            </w:r>
            <w:proofErr w:type="spellEnd"/>
            <w:r w:rsidRPr="002A1C51">
              <w:rPr>
                <w:rFonts w:cstheme="minorHAnsi"/>
              </w:rPr>
              <w:t xml:space="preserve">, </w:t>
            </w:r>
            <w:proofErr w:type="spellStart"/>
            <w:r w:rsidRPr="002A1C51">
              <w:rPr>
                <w:rFonts w:cstheme="minorHAnsi"/>
              </w:rPr>
              <w:t>service</w:t>
            </w:r>
            <w:proofErr w:type="spellEnd"/>
            <w:r w:rsidRPr="002A1C51">
              <w:rPr>
                <w:rFonts w:cstheme="minorHAnsi"/>
              </w:rPr>
              <w:t xml:space="preserve"> </w:t>
            </w:r>
            <w:proofErr w:type="spellStart"/>
            <w:r w:rsidRPr="002A1C51">
              <w:rPr>
                <w:rFonts w:cstheme="minorHAnsi"/>
              </w:rPr>
              <w:t>packů</w:t>
            </w:r>
            <w:proofErr w:type="spellEnd"/>
            <w:r w:rsidRPr="002A1C51">
              <w:rPr>
                <w:rFonts w:cstheme="minorHAnsi"/>
              </w:rPr>
              <w:t xml:space="preserve"> a dalších opravných balíků </w:t>
            </w:r>
            <w:r w:rsidRPr="00130B03">
              <w:rPr>
                <w:rFonts w:cstheme="minorHAnsi"/>
              </w:rPr>
              <w:t>výrobců infrastrukturních prvků,</w:t>
            </w:r>
          </w:p>
          <w:p w14:paraId="42086388" w14:textId="543F3E7E" w:rsidR="007701F3" w:rsidRPr="00130B03" w:rsidRDefault="007701F3" w:rsidP="00130B03">
            <w:pPr>
              <w:pStyle w:val="Odstavecseseznamem"/>
              <w:numPr>
                <w:ilvl w:val="0"/>
                <w:numId w:val="5"/>
              </w:numPr>
              <w:spacing w:after="80" w:line="276" w:lineRule="auto"/>
              <w:jc w:val="both"/>
              <w:rPr>
                <w:rFonts w:cstheme="minorHAnsi"/>
              </w:rPr>
            </w:pPr>
            <w:r w:rsidRPr="00130B03">
              <w:rPr>
                <w:rFonts w:cstheme="minorHAnsi"/>
              </w:rPr>
              <w:t xml:space="preserve">aktualizace provozní dokumentace. </w:t>
            </w:r>
            <w:r w:rsidR="000424FB" w:rsidRPr="00130B03">
              <w:rPr>
                <w:rFonts w:cstheme="minorHAnsi"/>
              </w:rPr>
              <w:t xml:space="preserve">Provozní dokumentace musí být vytvořena a udržována v souladu s pokyny a provozními manuály výrobců použitých infrastrukturních prvků, Dodavatele </w:t>
            </w:r>
            <w:r w:rsidR="000424FB" w:rsidRPr="00130B03">
              <w:rPr>
                <w:rFonts w:cstheme="minorHAnsi"/>
                <w:szCs w:val="20"/>
              </w:rPr>
              <w:t>ITSM platformy</w:t>
            </w:r>
            <w:r w:rsidR="000424FB" w:rsidRPr="00130B03">
              <w:rPr>
                <w:rFonts w:cstheme="minorHAnsi"/>
              </w:rPr>
              <w:t xml:space="preserve"> a související platnou legislativou, zejména pak zákonem č. 365/2000 Sb., o informačních systémech veřejné správy a o změně některých dalších zákonů, ve znění pozdějších předpisů.</w:t>
            </w:r>
          </w:p>
          <w:p w14:paraId="01D8E935" w14:textId="77777777" w:rsidR="00360AFC" w:rsidRPr="002A1C51" w:rsidRDefault="00360AFC" w:rsidP="00130B03">
            <w:pPr>
              <w:pStyle w:val="Odstavecseseznamem"/>
              <w:spacing w:after="80" w:line="276" w:lineRule="auto"/>
              <w:jc w:val="both"/>
              <w:rPr>
                <w:rFonts w:cstheme="minorHAnsi"/>
              </w:rPr>
            </w:pPr>
          </w:p>
          <w:p w14:paraId="56DF1E50" w14:textId="77777777" w:rsidR="007701F3" w:rsidRPr="00360AFC" w:rsidRDefault="007701F3" w:rsidP="00130B03">
            <w:pPr>
              <w:pStyle w:val="Odstavecseseznamem"/>
              <w:spacing w:after="80" w:line="276" w:lineRule="auto"/>
              <w:jc w:val="both"/>
              <w:rPr>
                <w:rFonts w:cstheme="minorHAnsi"/>
                <w:b/>
                <w:bCs/>
              </w:rPr>
            </w:pPr>
            <w:r w:rsidRPr="00360AFC">
              <w:rPr>
                <w:rFonts w:cstheme="minorHAnsi"/>
                <w:b/>
                <w:bCs/>
              </w:rPr>
              <w:t>Položka služby</w:t>
            </w:r>
          </w:p>
          <w:p w14:paraId="489ACEF6" w14:textId="56000B47" w:rsidR="007701F3" w:rsidRDefault="007701F3" w:rsidP="00130B03">
            <w:pPr>
              <w:pStyle w:val="Odstavecseseznamem"/>
              <w:spacing w:after="80" w:line="276" w:lineRule="auto"/>
              <w:jc w:val="both"/>
              <w:rPr>
                <w:rFonts w:cstheme="minorHAnsi"/>
              </w:rPr>
            </w:pPr>
            <w:r w:rsidRPr="002A1C51">
              <w:rPr>
                <w:rFonts w:cstheme="minorHAnsi"/>
              </w:rPr>
              <w:t>1 měsíc alokované kapacity IT specialistů zajišťujících služby pro jednotlivé části infrastruktury řešení v působnosti Dodavatele</w:t>
            </w:r>
            <w:r w:rsidR="000424FB">
              <w:rPr>
                <w:rFonts w:cstheme="minorHAnsi"/>
              </w:rPr>
              <w:t>.</w:t>
            </w:r>
          </w:p>
          <w:p w14:paraId="36AD331F" w14:textId="77777777" w:rsidR="000424FB" w:rsidRPr="002A1C51" w:rsidRDefault="000424FB" w:rsidP="00130B03">
            <w:pPr>
              <w:pStyle w:val="Odstavecseseznamem"/>
              <w:spacing w:after="80" w:line="276" w:lineRule="auto"/>
              <w:jc w:val="both"/>
              <w:rPr>
                <w:rFonts w:cstheme="minorHAnsi"/>
              </w:rPr>
            </w:pPr>
          </w:p>
          <w:p w14:paraId="62A4E838" w14:textId="1B04D369" w:rsidR="000424FB" w:rsidRPr="000424FB" w:rsidRDefault="007701F3" w:rsidP="00130B03">
            <w:pPr>
              <w:pStyle w:val="Odstavecseseznamem"/>
              <w:spacing w:after="80" w:line="276" w:lineRule="auto"/>
              <w:jc w:val="both"/>
              <w:rPr>
                <w:rFonts w:cstheme="minorHAnsi"/>
                <w:b/>
                <w:bCs/>
              </w:rPr>
            </w:pPr>
            <w:r w:rsidRPr="000424FB">
              <w:rPr>
                <w:rFonts w:cstheme="minorHAnsi"/>
                <w:b/>
                <w:bCs/>
              </w:rPr>
              <w:t>Metriky služby (SLA)</w:t>
            </w:r>
          </w:p>
          <w:p w14:paraId="4603E521" w14:textId="77777777" w:rsidR="007701F3" w:rsidRPr="002A1C51" w:rsidRDefault="007701F3" w:rsidP="00130B03">
            <w:pPr>
              <w:pStyle w:val="Odstavecseseznamem"/>
              <w:spacing w:after="80" w:line="276" w:lineRule="auto"/>
              <w:jc w:val="both"/>
              <w:rPr>
                <w:rFonts w:cstheme="minorHAnsi"/>
              </w:rPr>
            </w:pPr>
            <w:r w:rsidRPr="002A1C51">
              <w:rPr>
                <w:rFonts w:cstheme="minorHAnsi"/>
              </w:rPr>
              <w:t>Vyhodnocení identifikované odchylky v kvalitě a dostupnosti služeb, posouzení dopadu na provoz:</w:t>
            </w:r>
          </w:p>
          <w:p w14:paraId="1E79F7F6" w14:textId="77777777" w:rsidR="007701F3" w:rsidRPr="002A1C51" w:rsidRDefault="007701F3" w:rsidP="00130B03">
            <w:pPr>
              <w:pStyle w:val="Odstavecseseznamem"/>
              <w:numPr>
                <w:ilvl w:val="0"/>
                <w:numId w:val="5"/>
              </w:numPr>
              <w:spacing w:after="80" w:line="276" w:lineRule="auto"/>
              <w:jc w:val="both"/>
              <w:rPr>
                <w:rFonts w:cstheme="minorHAnsi"/>
              </w:rPr>
            </w:pPr>
            <w:r w:rsidRPr="002A1C51">
              <w:rPr>
                <w:rFonts w:cstheme="minorHAnsi"/>
              </w:rPr>
              <w:t>Lhůta pro zahájení vyhodnocení od detekce odchylky – 1 hod</w:t>
            </w:r>
          </w:p>
          <w:p w14:paraId="482A4B18" w14:textId="77777777" w:rsidR="007701F3" w:rsidRPr="002A1C51" w:rsidRDefault="007701F3" w:rsidP="00130B03">
            <w:pPr>
              <w:pStyle w:val="Odstavecseseznamem"/>
              <w:numPr>
                <w:ilvl w:val="0"/>
                <w:numId w:val="5"/>
              </w:numPr>
              <w:spacing w:after="80" w:line="276" w:lineRule="auto"/>
              <w:jc w:val="both"/>
              <w:rPr>
                <w:rFonts w:cstheme="minorHAnsi"/>
              </w:rPr>
            </w:pPr>
            <w:r w:rsidRPr="002A1C51">
              <w:rPr>
                <w:rFonts w:cstheme="minorHAnsi"/>
              </w:rPr>
              <w:t>Lhůta pro vyhodnocení odchylky od její detekce a iniciace dalších kroků (tj. případné založení incidentu řešeného v rámci korektivních služeb podpory, nebo zadání požadavku na provozovatele infrastruktury, Objednatele či subjekty 3. stran) – 4 hod</w:t>
            </w:r>
          </w:p>
          <w:p w14:paraId="198FB070" w14:textId="77777777" w:rsidR="007701F3" w:rsidRPr="002A1C51" w:rsidRDefault="007701F3" w:rsidP="00130B03">
            <w:pPr>
              <w:pStyle w:val="Odstavecseseznamem"/>
              <w:spacing w:after="80" w:line="276" w:lineRule="auto"/>
              <w:jc w:val="both"/>
              <w:rPr>
                <w:rFonts w:cstheme="minorHAnsi"/>
              </w:rPr>
            </w:pPr>
            <w:r w:rsidRPr="00E574D8">
              <w:rPr>
                <w:rFonts w:cstheme="minorHAnsi"/>
                <w:b/>
                <w:bCs/>
              </w:rPr>
              <w:t xml:space="preserve">Patche, </w:t>
            </w:r>
            <w:proofErr w:type="spellStart"/>
            <w:r w:rsidRPr="00E574D8">
              <w:rPr>
                <w:rFonts w:cstheme="minorHAnsi"/>
                <w:b/>
                <w:bCs/>
              </w:rPr>
              <w:t>hotfixy</w:t>
            </w:r>
            <w:proofErr w:type="spellEnd"/>
            <w:r w:rsidRPr="00E574D8">
              <w:rPr>
                <w:rFonts w:cstheme="minorHAnsi"/>
                <w:b/>
                <w:bCs/>
              </w:rPr>
              <w:t xml:space="preserve">, </w:t>
            </w:r>
            <w:proofErr w:type="spellStart"/>
            <w:r w:rsidRPr="00E574D8">
              <w:rPr>
                <w:rFonts w:cstheme="minorHAnsi"/>
                <w:b/>
                <w:bCs/>
              </w:rPr>
              <w:t>service</w:t>
            </w:r>
            <w:proofErr w:type="spellEnd"/>
            <w:r w:rsidRPr="00E574D8">
              <w:rPr>
                <w:rFonts w:cstheme="minorHAnsi"/>
                <w:b/>
                <w:bCs/>
              </w:rPr>
              <w:t xml:space="preserve"> packy a další opravné balíky výrobců infrastrukturních prvků</w:t>
            </w:r>
            <w:r w:rsidRPr="002A1C51">
              <w:rPr>
                <w:rFonts w:cstheme="minorHAnsi"/>
              </w:rPr>
              <w:t>:</w:t>
            </w:r>
          </w:p>
          <w:p w14:paraId="38706E90" w14:textId="77777777" w:rsidR="007701F3" w:rsidRPr="002A1C51" w:rsidRDefault="007701F3" w:rsidP="00130B03">
            <w:pPr>
              <w:pStyle w:val="Odstavecseseznamem"/>
              <w:numPr>
                <w:ilvl w:val="0"/>
                <w:numId w:val="5"/>
              </w:numPr>
              <w:spacing w:after="80" w:line="276" w:lineRule="auto"/>
              <w:jc w:val="both"/>
              <w:rPr>
                <w:rFonts w:cstheme="minorHAnsi"/>
              </w:rPr>
            </w:pPr>
            <w:r w:rsidRPr="002A1C51">
              <w:rPr>
                <w:rFonts w:cstheme="minorHAnsi"/>
              </w:rPr>
              <w:t>Lhůta pro analýzu a návrh nasazení – 5 pracovních dnů od vydání</w:t>
            </w:r>
          </w:p>
          <w:p w14:paraId="4C4E54CA" w14:textId="77777777" w:rsidR="007701F3" w:rsidRPr="002A1C51" w:rsidRDefault="007701F3" w:rsidP="00130B03">
            <w:pPr>
              <w:pStyle w:val="Odstavecseseznamem"/>
              <w:numPr>
                <w:ilvl w:val="0"/>
                <w:numId w:val="5"/>
              </w:numPr>
              <w:spacing w:after="80" w:line="276" w:lineRule="auto"/>
              <w:jc w:val="both"/>
              <w:rPr>
                <w:rFonts w:cstheme="minorHAnsi"/>
              </w:rPr>
            </w:pPr>
            <w:r w:rsidRPr="002A1C51">
              <w:rPr>
                <w:rFonts w:cstheme="minorHAnsi"/>
              </w:rPr>
              <w:t xml:space="preserve">Lhůta pro instalaci – 5 pracovních dnů od pokynu pro provedení instalace </w:t>
            </w:r>
          </w:p>
          <w:p w14:paraId="7417B859" w14:textId="77777777" w:rsidR="007701F3" w:rsidRPr="002A1C51" w:rsidRDefault="007701F3" w:rsidP="00130B03">
            <w:pPr>
              <w:pStyle w:val="Odstavecseseznamem"/>
              <w:numPr>
                <w:ilvl w:val="0"/>
                <w:numId w:val="5"/>
              </w:numPr>
              <w:spacing w:after="80" w:line="276" w:lineRule="auto"/>
              <w:jc w:val="both"/>
              <w:rPr>
                <w:rFonts w:cstheme="minorHAnsi"/>
              </w:rPr>
            </w:pPr>
            <w:r w:rsidRPr="002A1C51">
              <w:rPr>
                <w:rFonts w:cstheme="minorHAnsi"/>
              </w:rPr>
              <w:t>Aktualizace provozní dokumentace – do 5 pracovních dnů od identifikace potřeby (Objednatelem nebo Dodavatelem) provozní dokumentaci aktualizovat.</w:t>
            </w:r>
          </w:p>
          <w:p w14:paraId="211C3CE9" w14:textId="77777777" w:rsidR="007701F3" w:rsidRDefault="007701F3" w:rsidP="00130B03">
            <w:pPr>
              <w:pStyle w:val="Odstavecseseznamem"/>
              <w:spacing w:after="80" w:line="276" w:lineRule="auto"/>
              <w:jc w:val="both"/>
              <w:rPr>
                <w:rFonts w:cstheme="minorHAnsi"/>
              </w:rPr>
            </w:pPr>
          </w:p>
          <w:p w14:paraId="3B0132FF" w14:textId="1ECC5D19" w:rsidR="007701F3" w:rsidRPr="007701F3" w:rsidRDefault="007701F3" w:rsidP="00130B03">
            <w:pPr>
              <w:pStyle w:val="Odstavecseseznamem"/>
              <w:spacing w:after="80" w:line="276" w:lineRule="auto"/>
              <w:jc w:val="both"/>
              <w:rPr>
                <w:rFonts w:cstheme="minorHAnsi"/>
              </w:rPr>
            </w:pPr>
            <w:r w:rsidRPr="007701F3">
              <w:rPr>
                <w:rFonts w:cstheme="minorHAnsi"/>
              </w:rPr>
              <w:t xml:space="preserve">Periodické činnosti: </w:t>
            </w:r>
          </w:p>
          <w:p w14:paraId="380E42A5" w14:textId="77777777" w:rsidR="007701F3" w:rsidRPr="007701F3" w:rsidRDefault="007701F3" w:rsidP="00130B03">
            <w:pPr>
              <w:pStyle w:val="Odstavecseseznamem"/>
              <w:numPr>
                <w:ilvl w:val="0"/>
                <w:numId w:val="5"/>
              </w:numPr>
              <w:spacing w:after="80" w:line="276" w:lineRule="auto"/>
              <w:jc w:val="both"/>
              <w:rPr>
                <w:rFonts w:cstheme="minorHAnsi"/>
              </w:rPr>
            </w:pPr>
            <w:r w:rsidRPr="007701F3">
              <w:rPr>
                <w:rFonts w:cstheme="minorHAnsi"/>
              </w:rPr>
              <w:t xml:space="preserve">a) profylaktické činnosti, jako jsou sledování a kontrola log souborů, kontrola funkcionality, </w:t>
            </w:r>
          </w:p>
          <w:p w14:paraId="161F7DE6" w14:textId="77777777" w:rsidR="007701F3" w:rsidRPr="007701F3" w:rsidRDefault="007701F3" w:rsidP="00130B03">
            <w:pPr>
              <w:pStyle w:val="Odstavecseseznamem"/>
              <w:numPr>
                <w:ilvl w:val="0"/>
                <w:numId w:val="5"/>
              </w:numPr>
              <w:spacing w:after="80" w:line="276" w:lineRule="auto"/>
              <w:jc w:val="both"/>
              <w:rPr>
                <w:rFonts w:cstheme="minorHAnsi"/>
              </w:rPr>
            </w:pPr>
            <w:r w:rsidRPr="007701F3">
              <w:rPr>
                <w:rFonts w:cstheme="minorHAnsi"/>
              </w:rPr>
              <w:lastRenderedPageBreak/>
              <w:t xml:space="preserve">b) provádění drobných údržbových prací nutných k zajištění bezproblémového chodu systému </w:t>
            </w:r>
          </w:p>
          <w:p w14:paraId="13D61FE8" w14:textId="77777777" w:rsidR="007701F3" w:rsidRPr="007701F3" w:rsidRDefault="007701F3" w:rsidP="00130B03">
            <w:pPr>
              <w:pStyle w:val="Odstavecseseznamem"/>
              <w:numPr>
                <w:ilvl w:val="0"/>
                <w:numId w:val="5"/>
              </w:numPr>
              <w:spacing w:after="80" w:line="276" w:lineRule="auto"/>
              <w:jc w:val="both"/>
              <w:rPr>
                <w:rFonts w:cstheme="minorHAnsi"/>
              </w:rPr>
            </w:pPr>
            <w:r w:rsidRPr="007701F3">
              <w:rPr>
                <w:rFonts w:cstheme="minorHAnsi"/>
              </w:rPr>
              <w:t xml:space="preserve">h) vyhledání a identifikace rizikových míst v rámci aplikačního SW a informování Objednatele o možných krocích k nápravě, </w:t>
            </w:r>
          </w:p>
          <w:p w14:paraId="1892BD02" w14:textId="77777777" w:rsidR="007701F3" w:rsidRPr="007701F3" w:rsidRDefault="007701F3" w:rsidP="00130B03">
            <w:pPr>
              <w:pStyle w:val="Odstavecseseznamem"/>
              <w:numPr>
                <w:ilvl w:val="0"/>
                <w:numId w:val="5"/>
              </w:numPr>
              <w:spacing w:after="80" w:line="276" w:lineRule="auto"/>
              <w:jc w:val="both"/>
              <w:rPr>
                <w:rFonts w:cstheme="minorHAnsi"/>
              </w:rPr>
            </w:pPr>
            <w:r w:rsidRPr="007701F3">
              <w:rPr>
                <w:rFonts w:cstheme="minorHAnsi"/>
              </w:rPr>
              <w:t>i) sledování dostupnosti nových verzí hardware a software, testování nových verzí a návrh přechodu na nové verze hardware a software,</w:t>
            </w:r>
          </w:p>
          <w:p w14:paraId="01E8D1EB" w14:textId="5B83504B" w:rsidR="007701F3" w:rsidRPr="00E574D8" w:rsidRDefault="007701F3" w:rsidP="00130B03">
            <w:pPr>
              <w:pStyle w:val="Odstavecseseznamem"/>
              <w:numPr>
                <w:ilvl w:val="0"/>
                <w:numId w:val="5"/>
              </w:numPr>
              <w:spacing w:after="80" w:line="276" w:lineRule="auto"/>
              <w:jc w:val="both"/>
              <w:rPr>
                <w:rFonts w:cstheme="minorHAnsi"/>
              </w:rPr>
            </w:pPr>
            <w:r w:rsidRPr="007701F3">
              <w:rPr>
                <w:rFonts w:cstheme="minorHAnsi"/>
              </w:rPr>
              <w:t xml:space="preserve">J) zajištění podpory/maintenance výrobce pro všechny software komponenty využité v řešení na minimálně celé období platností této Smlouvy s výjimkou licencí zajišťovaných Objednatelem. </w:t>
            </w:r>
          </w:p>
        </w:tc>
      </w:tr>
      <w:tr w:rsidR="007701F3" w:rsidRPr="0066390A" w14:paraId="0C3140CE" w14:textId="77777777" w:rsidTr="00130B03">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695C1227" w14:textId="77777777" w:rsidR="007701F3" w:rsidRPr="00001603" w:rsidRDefault="007701F3" w:rsidP="00130B03">
            <w:pPr>
              <w:keepLines/>
              <w:widowControl w:val="0"/>
              <w:spacing w:before="60" w:after="60" w:line="240" w:lineRule="auto"/>
              <w:rPr>
                <w:rFonts w:cs="Tahoma"/>
                <w:lang w:val="x-none" w:eastAsia="x-none"/>
              </w:rPr>
            </w:pPr>
            <w:r w:rsidRPr="0C0C159F">
              <w:rPr>
                <w:rFonts w:ascii="Segoe UI" w:eastAsia="Segoe UI" w:hAnsi="Segoe UI" w:cs="Segoe UI"/>
                <w:b/>
                <w:bCs/>
                <w:sz w:val="18"/>
                <w:szCs w:val="18"/>
              </w:rPr>
              <w:lastRenderedPageBreak/>
              <w:t xml:space="preserve"> Požadovaná úroveň služeb</w:t>
            </w:r>
          </w:p>
        </w:tc>
      </w:tr>
      <w:tr w:rsidR="007701F3" w:rsidRPr="0066390A" w14:paraId="2269F2A7" w14:textId="77777777" w:rsidTr="00130B03">
        <w:trPr>
          <w:trHeight w:val="866"/>
        </w:trPr>
        <w:tc>
          <w:tcPr>
            <w:tcW w:w="5000" w:type="pct"/>
            <w:gridSpan w:val="4"/>
            <w:tcBorders>
              <w:top w:val="single" w:sz="6" w:space="0" w:color="auto"/>
              <w:left w:val="double" w:sz="4" w:space="0" w:color="auto"/>
              <w:bottom w:val="single" w:sz="6" w:space="0" w:color="auto"/>
              <w:right w:val="double" w:sz="4" w:space="0" w:color="auto"/>
            </w:tcBorders>
            <w:shd w:val="clear" w:color="auto" w:fill="auto"/>
          </w:tcPr>
          <w:p w14:paraId="22E29D73" w14:textId="1544B79A" w:rsidR="007701F3" w:rsidRPr="00001603" w:rsidRDefault="007701F3" w:rsidP="00130B03">
            <w:pPr>
              <w:spacing w:before="240" w:after="240"/>
              <w:rPr>
                <w:rFonts w:ascii="Segoe UI" w:eastAsia="Segoe UI" w:hAnsi="Segoe UI" w:cs="Segoe UI"/>
                <w:sz w:val="18"/>
                <w:szCs w:val="18"/>
              </w:rPr>
            </w:pPr>
            <w:r w:rsidRPr="0C0C159F">
              <w:rPr>
                <w:rFonts w:cs="Tahoma"/>
                <w:lang w:val="x-none" w:eastAsia="x-none"/>
              </w:rPr>
              <w:fldChar w:fldCharType="begin"/>
            </w:r>
            <w:r w:rsidRPr="0C0C159F">
              <w:rPr>
                <w:rFonts w:cs="Tahoma"/>
                <w:lang w:val="x-none" w:eastAsia="x-none"/>
              </w:rPr>
              <w:instrText xml:space="preserve"> REF _Ref534644047 \r \h  \* MERGEFORMAT </w:instrText>
            </w:r>
            <w:r w:rsidRPr="0C0C159F">
              <w:rPr>
                <w:rFonts w:cs="Tahoma"/>
                <w:lang w:val="x-none" w:eastAsia="x-none"/>
              </w:rPr>
            </w:r>
            <w:r w:rsidR="00000000">
              <w:rPr>
                <w:rFonts w:cs="Tahoma"/>
                <w:lang w:val="x-none" w:eastAsia="x-none"/>
              </w:rPr>
              <w:fldChar w:fldCharType="separate"/>
            </w:r>
            <w:r w:rsidRPr="0C0C159F">
              <w:rPr>
                <w:rFonts w:cs="Tahoma"/>
                <w:lang w:val="x-none" w:eastAsia="x-none"/>
              </w:rPr>
              <w:fldChar w:fldCharType="end"/>
            </w:r>
            <w:r w:rsidRPr="0C0C159F">
              <w:rPr>
                <w:rFonts w:cs="Tahoma"/>
                <w:lang w:val="x-none" w:eastAsia="x-none"/>
              </w:rPr>
              <w:fldChar w:fldCharType="begin"/>
            </w:r>
            <w:r w:rsidRPr="0C0C159F">
              <w:rPr>
                <w:rFonts w:cs="Tahoma"/>
                <w:lang w:val="x-none" w:eastAsia="x-none"/>
              </w:rPr>
              <w:instrText xml:space="preserve"> REF _Ref533865983 \r \h  \* MERGEFORMAT </w:instrText>
            </w:r>
            <w:r w:rsidRPr="0C0C159F">
              <w:rPr>
                <w:rFonts w:cs="Tahoma"/>
                <w:lang w:val="x-none" w:eastAsia="x-none"/>
              </w:rPr>
            </w:r>
            <w:r w:rsidR="00000000">
              <w:rPr>
                <w:rFonts w:cs="Tahoma"/>
                <w:lang w:val="x-none" w:eastAsia="x-none"/>
              </w:rPr>
              <w:fldChar w:fldCharType="separate"/>
            </w:r>
            <w:r w:rsidRPr="0C0C159F">
              <w:rPr>
                <w:rFonts w:cs="Tahoma"/>
                <w:lang w:val="x-none" w:eastAsia="x-none"/>
              </w:rPr>
              <w:fldChar w:fldCharType="end"/>
            </w:r>
            <w:r w:rsidRPr="0C0C159F">
              <w:rPr>
                <w:rFonts w:ascii="Segoe UI" w:eastAsia="Segoe UI" w:hAnsi="Segoe UI" w:cs="Segoe UI"/>
                <w:sz w:val="18"/>
                <w:szCs w:val="18"/>
              </w:rPr>
              <w:t xml:space="preserve">Produkční prostředí: </w:t>
            </w:r>
            <w:r>
              <w:rPr>
                <w:rFonts w:ascii="Segoe UI" w:eastAsia="Segoe UI" w:hAnsi="Segoe UI" w:cs="Segoe UI"/>
                <w:sz w:val="18"/>
                <w:szCs w:val="18"/>
              </w:rPr>
              <w:t>BRONZ</w:t>
            </w:r>
          </w:p>
          <w:p w14:paraId="679D8E53" w14:textId="03647921" w:rsidR="007701F3" w:rsidRPr="007701F3" w:rsidRDefault="007701F3" w:rsidP="00130B03">
            <w:pPr>
              <w:spacing w:before="240" w:after="240"/>
              <w:rPr>
                <w:rFonts w:ascii="Segoe UI" w:eastAsia="Segoe UI" w:hAnsi="Segoe UI" w:cs="Segoe UI"/>
                <w:sz w:val="18"/>
                <w:szCs w:val="18"/>
              </w:rPr>
            </w:pPr>
            <w:r w:rsidRPr="0C0C159F">
              <w:rPr>
                <w:rFonts w:ascii="Segoe UI" w:eastAsia="Segoe UI" w:hAnsi="Segoe UI" w:cs="Segoe UI"/>
                <w:sz w:val="18"/>
                <w:szCs w:val="18"/>
              </w:rPr>
              <w:t>Testovací prostředí: TEST</w:t>
            </w:r>
          </w:p>
        </w:tc>
      </w:tr>
    </w:tbl>
    <w:p w14:paraId="2E3E0404" w14:textId="5E19DD99" w:rsidR="00130B03" w:rsidRDefault="00130B03"/>
    <w:p w14:paraId="21572E05" w14:textId="77777777" w:rsidR="00130B03" w:rsidRDefault="00130B03">
      <w:r>
        <w:br w:type="page"/>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4490"/>
        <w:gridCol w:w="1121"/>
        <w:gridCol w:w="1615"/>
      </w:tblGrid>
      <w:tr w:rsidR="00E574D8" w:rsidRPr="00D1738C" w14:paraId="7EE5F92A" w14:textId="77777777" w:rsidTr="00065D8C">
        <w:trPr>
          <w:trHeight w:val="244"/>
        </w:trPr>
        <w:tc>
          <w:tcPr>
            <w:tcW w:w="1139" w:type="pct"/>
            <w:tcBorders>
              <w:top w:val="double" w:sz="4" w:space="0" w:color="auto"/>
              <w:left w:val="double" w:sz="4" w:space="0" w:color="auto"/>
              <w:bottom w:val="double" w:sz="4" w:space="0" w:color="auto"/>
              <w:right w:val="double" w:sz="4" w:space="0" w:color="auto"/>
            </w:tcBorders>
            <w:shd w:val="clear" w:color="auto" w:fill="ABBB59"/>
            <w:vAlign w:val="center"/>
          </w:tcPr>
          <w:p w14:paraId="2F182B81" w14:textId="77777777" w:rsidR="00E574D8" w:rsidRPr="00D1738C" w:rsidRDefault="00E574D8" w:rsidP="00065D8C">
            <w:pPr>
              <w:keepLines/>
              <w:widowControl w:val="0"/>
              <w:spacing w:before="60" w:after="60" w:line="240" w:lineRule="auto"/>
              <w:rPr>
                <w:rFonts w:cs="Tahoma"/>
                <w:b/>
                <w:szCs w:val="20"/>
              </w:rPr>
            </w:pPr>
            <w:r w:rsidRPr="00D1738C">
              <w:rPr>
                <w:rFonts w:cs="Tahoma"/>
                <w:b/>
                <w:color w:val="FFFFFF" w:themeColor="background1"/>
                <w:szCs w:val="20"/>
              </w:rPr>
              <w:lastRenderedPageBreak/>
              <w:t>Název služby</w:t>
            </w:r>
          </w:p>
        </w:tc>
        <w:tc>
          <w:tcPr>
            <w:tcW w:w="2399" w:type="pct"/>
            <w:tcBorders>
              <w:top w:val="double" w:sz="4" w:space="0" w:color="auto"/>
              <w:left w:val="double" w:sz="4" w:space="0" w:color="auto"/>
              <w:bottom w:val="double" w:sz="4" w:space="0" w:color="auto"/>
              <w:right w:val="double" w:sz="4" w:space="0" w:color="auto"/>
            </w:tcBorders>
            <w:shd w:val="clear" w:color="auto" w:fill="auto"/>
            <w:vAlign w:val="center"/>
          </w:tcPr>
          <w:p w14:paraId="4D49B965" w14:textId="61FB4E8A" w:rsidR="00E574D8" w:rsidRPr="00E574D8" w:rsidRDefault="00E574D8" w:rsidP="00065D8C">
            <w:pPr>
              <w:keepLines/>
              <w:widowControl w:val="0"/>
              <w:spacing w:before="60" w:after="60" w:line="288" w:lineRule="auto"/>
              <w:contextualSpacing/>
              <w:rPr>
                <w:rFonts w:cs="Tahoma"/>
                <w:b/>
                <w:bCs/>
                <w:szCs w:val="20"/>
              </w:rPr>
            </w:pPr>
            <w:r w:rsidRPr="00E574D8">
              <w:rPr>
                <w:rFonts w:cstheme="minorHAnsi"/>
                <w:b/>
                <w:bCs/>
              </w:rPr>
              <w:t>Korektivní služby podpory</w:t>
            </w:r>
          </w:p>
        </w:tc>
        <w:tc>
          <w:tcPr>
            <w:tcW w:w="599" w:type="pct"/>
            <w:tcBorders>
              <w:top w:val="double" w:sz="4" w:space="0" w:color="auto"/>
              <w:left w:val="double" w:sz="4" w:space="0" w:color="auto"/>
              <w:bottom w:val="double" w:sz="4" w:space="0" w:color="auto"/>
              <w:right w:val="double" w:sz="4" w:space="0" w:color="auto"/>
            </w:tcBorders>
            <w:shd w:val="clear" w:color="auto" w:fill="ABBB59"/>
            <w:vAlign w:val="center"/>
          </w:tcPr>
          <w:p w14:paraId="205A471D" w14:textId="77777777" w:rsidR="00E574D8" w:rsidRPr="00D1738C" w:rsidRDefault="00E574D8" w:rsidP="00065D8C">
            <w:pPr>
              <w:pStyle w:val="Zkladntext"/>
              <w:keepLines/>
              <w:widowControl w:val="0"/>
              <w:spacing w:before="60" w:after="60" w:line="240" w:lineRule="auto"/>
              <w:rPr>
                <w:rFonts w:cs="Tahoma"/>
                <w:b/>
                <w:szCs w:val="20"/>
              </w:rPr>
            </w:pPr>
            <w:r w:rsidRPr="00D1738C">
              <w:rPr>
                <w:rFonts w:cs="Tahoma"/>
                <w:b/>
                <w:color w:val="FFFFFF" w:themeColor="background1"/>
                <w:szCs w:val="20"/>
              </w:rPr>
              <w:t>TYP KL:</w:t>
            </w:r>
          </w:p>
        </w:tc>
        <w:tc>
          <w:tcPr>
            <w:tcW w:w="863" w:type="pct"/>
            <w:tcBorders>
              <w:top w:val="double" w:sz="4" w:space="0" w:color="auto"/>
              <w:left w:val="double" w:sz="4" w:space="0" w:color="auto"/>
              <w:bottom w:val="double" w:sz="4" w:space="0" w:color="auto"/>
              <w:right w:val="double" w:sz="4" w:space="0" w:color="auto"/>
            </w:tcBorders>
            <w:shd w:val="clear" w:color="auto" w:fill="auto"/>
            <w:vAlign w:val="center"/>
          </w:tcPr>
          <w:p w14:paraId="4266DAD5" w14:textId="084A6193" w:rsidR="00E574D8" w:rsidRPr="00D1738C" w:rsidRDefault="00130B03" w:rsidP="00065D8C">
            <w:pPr>
              <w:pStyle w:val="Zkladntext"/>
              <w:keepLines/>
              <w:widowControl w:val="0"/>
              <w:spacing w:before="60" w:after="60" w:line="240" w:lineRule="auto"/>
              <w:jc w:val="right"/>
              <w:rPr>
                <w:rFonts w:cs="Tahoma"/>
                <w:b/>
                <w:szCs w:val="20"/>
              </w:rPr>
            </w:pPr>
            <w:r>
              <w:rPr>
                <w:rFonts w:cs="Tahoma"/>
                <w:b/>
                <w:szCs w:val="20"/>
              </w:rPr>
              <w:t xml:space="preserve">ITSM – 002 </w:t>
            </w:r>
            <w:r w:rsidR="00E574D8" w:rsidRPr="00D1738C">
              <w:rPr>
                <w:rFonts w:cs="Tahoma"/>
                <w:b/>
                <w:szCs w:val="20"/>
              </w:rPr>
              <w:t>Paušální</w:t>
            </w:r>
          </w:p>
        </w:tc>
      </w:tr>
      <w:tr w:rsidR="00E574D8" w:rsidRPr="00D1738C" w14:paraId="32B6F4F8" w14:textId="77777777" w:rsidTr="00065D8C">
        <w:trPr>
          <w:trHeight w:val="237"/>
        </w:trPr>
        <w:tc>
          <w:tcPr>
            <w:tcW w:w="1139" w:type="pct"/>
            <w:tcBorders>
              <w:top w:val="single" w:sz="6" w:space="0" w:color="auto"/>
              <w:left w:val="double" w:sz="4" w:space="0" w:color="auto"/>
              <w:bottom w:val="single" w:sz="6" w:space="0" w:color="auto"/>
              <w:right w:val="single" w:sz="6" w:space="0" w:color="auto"/>
            </w:tcBorders>
            <w:vAlign w:val="center"/>
          </w:tcPr>
          <w:p w14:paraId="5794ADA7" w14:textId="77777777" w:rsidR="00E574D8" w:rsidRPr="00D1738C" w:rsidRDefault="00E574D8" w:rsidP="00065D8C">
            <w:pPr>
              <w:pStyle w:val="Zkladntext"/>
              <w:keepLines/>
              <w:widowControl w:val="0"/>
              <w:spacing w:before="60" w:after="60" w:line="240" w:lineRule="auto"/>
              <w:rPr>
                <w:rFonts w:cs="Tahoma"/>
                <w:b/>
                <w:szCs w:val="20"/>
              </w:rPr>
            </w:pPr>
            <w:r w:rsidRPr="00D1738C">
              <w:rPr>
                <w:rFonts w:cs="Tahoma"/>
                <w:b/>
                <w:szCs w:val="20"/>
              </w:rPr>
              <w:t>Zkrácený popis služby</w:t>
            </w:r>
          </w:p>
        </w:tc>
        <w:tc>
          <w:tcPr>
            <w:tcW w:w="3861" w:type="pct"/>
            <w:gridSpan w:val="3"/>
            <w:tcBorders>
              <w:top w:val="single" w:sz="6" w:space="0" w:color="auto"/>
              <w:left w:val="single" w:sz="6" w:space="0" w:color="auto"/>
              <w:bottom w:val="single" w:sz="6" w:space="0" w:color="auto"/>
              <w:right w:val="double" w:sz="4" w:space="0" w:color="auto"/>
            </w:tcBorders>
            <w:vAlign w:val="center"/>
          </w:tcPr>
          <w:p w14:paraId="7DD6C0FF" w14:textId="3B69A4C5" w:rsidR="00E574D8" w:rsidRPr="00D1738C" w:rsidRDefault="00E574D8" w:rsidP="00065D8C">
            <w:pPr>
              <w:keepLines/>
              <w:widowControl w:val="0"/>
              <w:spacing w:before="60" w:after="60" w:line="288" w:lineRule="auto"/>
              <w:contextualSpacing/>
              <w:rPr>
                <w:rFonts w:cs="Tahoma"/>
                <w:b/>
                <w:szCs w:val="20"/>
              </w:rPr>
            </w:pPr>
            <w:r w:rsidRPr="002A1C51">
              <w:rPr>
                <w:rFonts w:cstheme="minorHAnsi"/>
              </w:rPr>
              <w:t>Reaktivní služba nápravy nestandardních či chybových stavů řešení. Korektivní služby jsou prováděny:</w:t>
            </w:r>
          </w:p>
        </w:tc>
      </w:tr>
      <w:tr w:rsidR="00E574D8" w:rsidRPr="0066390A" w14:paraId="54477F28" w14:textId="77777777" w:rsidTr="00065D8C">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2FE08B29" w14:textId="77777777" w:rsidR="00E574D8" w:rsidRPr="00D1738C" w:rsidRDefault="00E574D8" w:rsidP="00065D8C">
            <w:pPr>
              <w:keepLines/>
              <w:widowControl w:val="0"/>
              <w:spacing w:before="60" w:after="60" w:line="240" w:lineRule="auto"/>
              <w:rPr>
                <w:rFonts w:cs="Tahoma"/>
                <w:szCs w:val="20"/>
              </w:rPr>
            </w:pPr>
            <w:r w:rsidRPr="00D1738C">
              <w:rPr>
                <w:rFonts w:cs="Tahoma"/>
                <w:b/>
                <w:color w:val="FFFFFF" w:themeColor="background1"/>
                <w:szCs w:val="20"/>
              </w:rPr>
              <w:t>DEFINICE SLUŽBY A POŽADOVANÝCH ČINNOSTÍ</w:t>
            </w:r>
          </w:p>
        </w:tc>
      </w:tr>
      <w:tr w:rsidR="00E574D8" w:rsidRPr="0066390A" w14:paraId="56685D66" w14:textId="77777777" w:rsidTr="00065D8C">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13CA7887" w14:textId="77777777" w:rsidR="00E574D8" w:rsidRPr="00E574D8" w:rsidRDefault="00E574D8" w:rsidP="00E574D8">
            <w:pPr>
              <w:pStyle w:val="Zkladntext"/>
              <w:keepLines/>
              <w:widowControl w:val="0"/>
              <w:spacing w:before="60" w:after="60" w:line="240" w:lineRule="auto"/>
              <w:rPr>
                <w:rFonts w:cs="Tahoma"/>
                <w:b/>
                <w:szCs w:val="20"/>
              </w:rPr>
            </w:pPr>
            <w:r w:rsidRPr="00E574D8">
              <w:rPr>
                <w:rFonts w:cs="Tahoma"/>
                <w:b/>
                <w:szCs w:val="20"/>
              </w:rPr>
              <w:t>Popis služby:</w:t>
            </w:r>
          </w:p>
          <w:p w14:paraId="3B4F8183" w14:textId="77777777" w:rsidR="00E574D8" w:rsidRDefault="00E574D8" w:rsidP="00065D8C">
            <w:pPr>
              <w:spacing w:after="120"/>
              <w:contextualSpacing/>
              <w:jc w:val="both"/>
              <w:rPr>
                <w:rFonts w:cstheme="minorHAnsi"/>
              </w:rPr>
            </w:pPr>
            <w:r w:rsidRPr="002A1C51">
              <w:rPr>
                <w:rFonts w:cstheme="minorHAnsi"/>
              </w:rPr>
              <w:t>Reaktivní služba nápravy nestandardních či chybových stavů řešení. Korektivní služby jsou prováděny:</w:t>
            </w:r>
          </w:p>
          <w:p w14:paraId="476B6CF3" w14:textId="77777777" w:rsidR="003A2C40" w:rsidRDefault="003A2C40" w:rsidP="00065D8C">
            <w:pPr>
              <w:spacing w:after="120"/>
              <w:contextualSpacing/>
              <w:jc w:val="both"/>
              <w:rPr>
                <w:rFonts w:ascii="Calibri" w:eastAsia="Calibri" w:hAnsi="Calibri" w:cstheme="minorHAnsi"/>
                <w:sz w:val="20"/>
              </w:rPr>
            </w:pPr>
          </w:p>
          <w:p w14:paraId="5F07578A" w14:textId="77777777" w:rsidR="003A2C40" w:rsidRPr="002A1C51" w:rsidRDefault="003A2C40" w:rsidP="003A2C40">
            <w:pPr>
              <w:pStyle w:val="Odstavecseseznamem"/>
              <w:numPr>
                <w:ilvl w:val="0"/>
                <w:numId w:val="8"/>
              </w:numPr>
              <w:spacing w:after="80" w:line="276" w:lineRule="auto"/>
              <w:jc w:val="both"/>
              <w:rPr>
                <w:rFonts w:cstheme="minorHAnsi"/>
              </w:rPr>
            </w:pPr>
            <w:r w:rsidRPr="002A1C51">
              <w:rPr>
                <w:rFonts w:cstheme="minorHAnsi"/>
              </w:rPr>
              <w:t xml:space="preserve">na pokyn Objednatele v případě, že provozní informace či chování řešení indikují možné nedostatky nebo zhoršení jeho funkčních či </w:t>
            </w:r>
            <w:proofErr w:type="spellStart"/>
            <w:r w:rsidRPr="002A1C51">
              <w:rPr>
                <w:rFonts w:cstheme="minorHAnsi"/>
              </w:rPr>
              <w:t>vlastnostních</w:t>
            </w:r>
            <w:proofErr w:type="spellEnd"/>
            <w:r w:rsidRPr="002A1C51">
              <w:rPr>
                <w:rFonts w:cstheme="minorHAnsi"/>
              </w:rPr>
              <w:t xml:space="preserve"> charakteristik a požadavek byl zadán do ServiceDesk či nahlášen na uživatelskou podporu;</w:t>
            </w:r>
          </w:p>
          <w:p w14:paraId="37B62419" w14:textId="77777777" w:rsidR="003A2C40" w:rsidRPr="002A1C51" w:rsidRDefault="003A2C40" w:rsidP="003A2C40">
            <w:pPr>
              <w:pStyle w:val="Odstavecseseznamem"/>
              <w:numPr>
                <w:ilvl w:val="0"/>
                <w:numId w:val="8"/>
              </w:numPr>
              <w:spacing w:after="80" w:line="276" w:lineRule="auto"/>
              <w:jc w:val="both"/>
              <w:rPr>
                <w:rFonts w:cstheme="minorHAnsi"/>
              </w:rPr>
            </w:pPr>
            <w:r w:rsidRPr="002A1C51">
              <w:rPr>
                <w:rFonts w:cstheme="minorHAnsi"/>
              </w:rPr>
              <w:t xml:space="preserve">na pokyn uživatelů v případě, že chování řešení indikuje možné nedostatky nebo zhoršení jeho funkčních či </w:t>
            </w:r>
            <w:proofErr w:type="spellStart"/>
            <w:r w:rsidRPr="002A1C51">
              <w:rPr>
                <w:rFonts w:cstheme="minorHAnsi"/>
              </w:rPr>
              <w:t>vlastnostních</w:t>
            </w:r>
            <w:proofErr w:type="spellEnd"/>
            <w:r w:rsidRPr="002A1C51">
              <w:rPr>
                <w:rFonts w:cstheme="minorHAnsi"/>
              </w:rPr>
              <w:t xml:space="preserve"> charakteristik a požadavek byl zadán do ServiceDesk či nahlášen na uživatelskou podporu;</w:t>
            </w:r>
          </w:p>
          <w:p w14:paraId="61939A30" w14:textId="77777777" w:rsidR="003A2C40" w:rsidRPr="002A1C51" w:rsidRDefault="003A2C40" w:rsidP="003A2C40">
            <w:pPr>
              <w:pStyle w:val="Odstavecseseznamem"/>
              <w:numPr>
                <w:ilvl w:val="0"/>
                <w:numId w:val="8"/>
              </w:numPr>
              <w:spacing w:after="80" w:line="276" w:lineRule="auto"/>
              <w:jc w:val="both"/>
              <w:rPr>
                <w:rFonts w:cstheme="minorHAnsi"/>
              </w:rPr>
            </w:pPr>
            <w:r w:rsidRPr="002A1C51">
              <w:rPr>
                <w:rFonts w:cstheme="minorHAnsi"/>
              </w:rPr>
              <w:t>na základě nestandardních nebo od normálu se odchylujících provozních ukazatelů identifikovaných v rámci provozu či preventivních služeb podpory.</w:t>
            </w:r>
          </w:p>
          <w:p w14:paraId="768F0BBC" w14:textId="77777777" w:rsidR="003A2C40" w:rsidRPr="002A1C51" w:rsidRDefault="003A2C40" w:rsidP="003A2C40">
            <w:pPr>
              <w:rPr>
                <w:rFonts w:cstheme="minorHAnsi"/>
              </w:rPr>
            </w:pPr>
            <w:r w:rsidRPr="002A1C51">
              <w:rPr>
                <w:rFonts w:cstheme="minorHAnsi"/>
              </w:rPr>
              <w:t>Služba zahrnuje:</w:t>
            </w:r>
          </w:p>
          <w:p w14:paraId="68C22581" w14:textId="77777777" w:rsidR="003A2C40" w:rsidRPr="002A1C51" w:rsidRDefault="003A2C40" w:rsidP="003A2C40">
            <w:pPr>
              <w:pStyle w:val="Odstavecseseznamem"/>
              <w:numPr>
                <w:ilvl w:val="0"/>
                <w:numId w:val="6"/>
              </w:numPr>
              <w:spacing w:after="80" w:line="276" w:lineRule="auto"/>
              <w:jc w:val="both"/>
              <w:rPr>
                <w:rFonts w:cstheme="minorHAnsi"/>
              </w:rPr>
            </w:pPr>
            <w:r w:rsidRPr="002A1C51">
              <w:rPr>
                <w:rFonts w:cstheme="minorHAnsi"/>
              </w:rPr>
              <w:t xml:space="preserve">analýzu a dodatečný monitoring nestandardních či chybových stavů, </w:t>
            </w:r>
          </w:p>
          <w:p w14:paraId="7B25A997" w14:textId="77777777" w:rsidR="003A2C40" w:rsidRPr="002A1C51" w:rsidRDefault="003A2C40" w:rsidP="003A2C40">
            <w:pPr>
              <w:pStyle w:val="Odstavecseseznamem"/>
              <w:numPr>
                <w:ilvl w:val="0"/>
                <w:numId w:val="6"/>
              </w:numPr>
              <w:spacing w:after="80" w:line="276" w:lineRule="auto"/>
              <w:jc w:val="both"/>
              <w:rPr>
                <w:rFonts w:cstheme="minorHAnsi"/>
              </w:rPr>
            </w:pPr>
            <w:r w:rsidRPr="002A1C51">
              <w:rPr>
                <w:rFonts w:cstheme="minorHAnsi"/>
              </w:rPr>
              <w:t>provozní a servisní zásah technika zahrnující zejména:</w:t>
            </w:r>
          </w:p>
          <w:p w14:paraId="6EE7FCFD" w14:textId="77777777" w:rsidR="003A2C40" w:rsidRPr="002A1C51" w:rsidRDefault="003A2C40" w:rsidP="003A2C40">
            <w:pPr>
              <w:pStyle w:val="Odstavecseseznamem"/>
              <w:numPr>
                <w:ilvl w:val="1"/>
                <w:numId w:val="6"/>
              </w:numPr>
              <w:spacing w:after="80" w:line="276" w:lineRule="auto"/>
              <w:jc w:val="both"/>
              <w:rPr>
                <w:rFonts w:cstheme="minorHAnsi"/>
              </w:rPr>
            </w:pPr>
            <w:r w:rsidRPr="002A1C51">
              <w:rPr>
                <w:rFonts w:cstheme="minorHAnsi"/>
              </w:rPr>
              <w:t>opravu chyb aplikační části řešení,</w:t>
            </w:r>
          </w:p>
          <w:p w14:paraId="54E16EEB" w14:textId="77777777" w:rsidR="003A2C40" w:rsidRPr="002A1C51" w:rsidRDefault="003A2C40" w:rsidP="003A2C40">
            <w:pPr>
              <w:pStyle w:val="Odstavecseseznamem"/>
              <w:numPr>
                <w:ilvl w:val="1"/>
                <w:numId w:val="6"/>
              </w:numPr>
              <w:spacing w:after="80" w:line="276" w:lineRule="auto"/>
              <w:jc w:val="both"/>
              <w:rPr>
                <w:rFonts w:cstheme="minorHAnsi"/>
              </w:rPr>
            </w:pPr>
            <w:r w:rsidRPr="002A1C51">
              <w:rPr>
                <w:rFonts w:cstheme="minorHAnsi"/>
              </w:rPr>
              <w:t xml:space="preserve">opravu chyb či změnu konfigurace prvků infrastruktury v působnosti Dodavatele v souladu s pokyny technologických vendorů či subjektů zajišťujících 3. úroveň podpory, </w:t>
            </w:r>
          </w:p>
          <w:p w14:paraId="676914B2" w14:textId="77777777" w:rsidR="003A2C40" w:rsidRPr="002A1C51" w:rsidRDefault="003A2C40" w:rsidP="003A2C40">
            <w:pPr>
              <w:pStyle w:val="Odstavecseseznamem"/>
              <w:numPr>
                <w:ilvl w:val="0"/>
                <w:numId w:val="6"/>
              </w:numPr>
              <w:spacing w:after="80" w:line="276" w:lineRule="auto"/>
              <w:jc w:val="both"/>
              <w:rPr>
                <w:rFonts w:cstheme="minorHAnsi"/>
              </w:rPr>
            </w:pPr>
            <w:r w:rsidRPr="002A1C51">
              <w:rPr>
                <w:rFonts w:cstheme="minorHAnsi"/>
              </w:rPr>
              <w:t>iniciaci provozního zásahu u provozovatele technologické infrastruktury,</w:t>
            </w:r>
          </w:p>
          <w:p w14:paraId="454BDD03" w14:textId="77777777" w:rsidR="003A2C40" w:rsidRPr="002A1C51" w:rsidRDefault="003A2C40" w:rsidP="003A2C40">
            <w:pPr>
              <w:pStyle w:val="Odstavecseseznamem"/>
              <w:numPr>
                <w:ilvl w:val="0"/>
                <w:numId w:val="6"/>
              </w:numPr>
              <w:spacing w:after="80" w:line="276" w:lineRule="auto"/>
              <w:jc w:val="both"/>
              <w:rPr>
                <w:rFonts w:cstheme="minorHAnsi"/>
              </w:rPr>
            </w:pPr>
            <w:r w:rsidRPr="002A1C51">
              <w:rPr>
                <w:rFonts w:cstheme="minorHAnsi"/>
              </w:rPr>
              <w:t xml:space="preserve">iniciaci součinnosti technologických vendorů a subjektů zajišťujících 3. úroveň podpory, komunikaci s těmito subjekty, </w:t>
            </w:r>
          </w:p>
          <w:p w14:paraId="0A6A8898" w14:textId="77777777" w:rsidR="003A2C40" w:rsidRPr="002A1C51" w:rsidRDefault="003A2C40" w:rsidP="003A2C40">
            <w:pPr>
              <w:pStyle w:val="Odstavecseseznamem"/>
              <w:numPr>
                <w:ilvl w:val="0"/>
                <w:numId w:val="6"/>
              </w:numPr>
              <w:spacing w:after="80" w:line="276" w:lineRule="auto"/>
              <w:jc w:val="both"/>
              <w:rPr>
                <w:rFonts w:cstheme="minorHAnsi"/>
              </w:rPr>
            </w:pPr>
            <w:r w:rsidRPr="002A1C51">
              <w:rPr>
                <w:rFonts w:cstheme="minorHAnsi"/>
              </w:rPr>
              <w:t>podpora MZe v případě potřeby eskalace anomálie, nestandardního nebo chybového stavu vůči 3. stranám.</w:t>
            </w:r>
          </w:p>
          <w:p w14:paraId="3406F427" w14:textId="77777777" w:rsidR="003A2C40" w:rsidRPr="002A1C51" w:rsidRDefault="003A2C40" w:rsidP="003A2C40">
            <w:pPr>
              <w:rPr>
                <w:rFonts w:cstheme="minorHAnsi"/>
                <w:b/>
                <w:bCs/>
              </w:rPr>
            </w:pPr>
            <w:r w:rsidRPr="002A1C51">
              <w:rPr>
                <w:rFonts w:cstheme="minorHAnsi"/>
                <w:b/>
                <w:bCs/>
              </w:rPr>
              <w:t>Položka služby</w:t>
            </w:r>
          </w:p>
          <w:p w14:paraId="09D15A35" w14:textId="77777777" w:rsidR="003A2C40" w:rsidRPr="002A1C51" w:rsidRDefault="003A2C40" w:rsidP="003A2C40">
            <w:pPr>
              <w:rPr>
                <w:rFonts w:cstheme="minorHAnsi"/>
              </w:rPr>
            </w:pPr>
            <w:r w:rsidRPr="002A1C51">
              <w:rPr>
                <w:rFonts w:cstheme="minorHAnsi"/>
              </w:rPr>
              <w:t xml:space="preserve">1 měsíc alokované kapacity IT specialistů zajišťujících služby pro jednotlivé části infrastruktury řešení v působnosti Dodavatele </w:t>
            </w:r>
          </w:p>
          <w:p w14:paraId="3F7E5528" w14:textId="77777777" w:rsidR="003A2C40" w:rsidRPr="002A1C51" w:rsidRDefault="003A2C40" w:rsidP="003A2C40">
            <w:pPr>
              <w:rPr>
                <w:rFonts w:cstheme="minorHAnsi"/>
                <w:b/>
              </w:rPr>
            </w:pPr>
            <w:r w:rsidRPr="002A1C51">
              <w:rPr>
                <w:rFonts w:cstheme="minorHAnsi"/>
                <w:b/>
              </w:rPr>
              <w:t>Metriky služby (SLA)</w:t>
            </w:r>
          </w:p>
          <w:p w14:paraId="6C95B852" w14:textId="77777777" w:rsidR="003A2C40" w:rsidRPr="002A1C51" w:rsidRDefault="003A2C40" w:rsidP="003A2C40">
            <w:pPr>
              <w:rPr>
                <w:rFonts w:cstheme="minorHAnsi"/>
              </w:rPr>
            </w:pPr>
            <w:r w:rsidRPr="002A1C51">
              <w:rPr>
                <w:rFonts w:cstheme="minorHAnsi"/>
              </w:rPr>
              <w:t>Lhůty pro incidenty vyžadující korektivní služby podpory:</w:t>
            </w:r>
          </w:p>
          <w:p w14:paraId="46CD04FE" w14:textId="77777777" w:rsidR="003A2C40" w:rsidRPr="002A1C51" w:rsidRDefault="003A2C40" w:rsidP="003A2C40">
            <w:pPr>
              <w:pStyle w:val="Odstavecseseznamem"/>
              <w:numPr>
                <w:ilvl w:val="0"/>
                <w:numId w:val="7"/>
              </w:numPr>
              <w:spacing w:after="80" w:line="276" w:lineRule="auto"/>
              <w:jc w:val="both"/>
              <w:rPr>
                <w:rFonts w:cstheme="minorHAnsi"/>
              </w:rPr>
            </w:pPr>
            <w:r w:rsidRPr="002A1C51">
              <w:rPr>
                <w:rFonts w:cstheme="minorHAnsi"/>
              </w:rPr>
              <w:t>Lhůta pro zahájení reakce na nestandardní či chybový stav – 1 hod</w:t>
            </w:r>
          </w:p>
          <w:p w14:paraId="424570FF" w14:textId="77777777" w:rsidR="003A2C40" w:rsidRPr="002A1C51" w:rsidRDefault="003A2C40" w:rsidP="003A2C40">
            <w:pPr>
              <w:pStyle w:val="Odstavecseseznamem"/>
              <w:numPr>
                <w:ilvl w:val="0"/>
                <w:numId w:val="7"/>
              </w:numPr>
              <w:spacing w:after="80" w:line="276" w:lineRule="auto"/>
              <w:jc w:val="both"/>
              <w:rPr>
                <w:rFonts w:cstheme="minorHAnsi"/>
              </w:rPr>
            </w:pPr>
            <w:r w:rsidRPr="002A1C51">
              <w:rPr>
                <w:rFonts w:cstheme="minorHAnsi"/>
              </w:rPr>
              <w:t>Lhůta pro informování uživatelů o nestandardním či chybovém stavu – 1 hod</w:t>
            </w:r>
          </w:p>
          <w:p w14:paraId="7D0CAF9D" w14:textId="77777777" w:rsidR="003A2C40" w:rsidRPr="002A1C51" w:rsidRDefault="003A2C40" w:rsidP="003A2C40">
            <w:pPr>
              <w:pStyle w:val="Odstavecseseznamem"/>
              <w:numPr>
                <w:ilvl w:val="0"/>
                <w:numId w:val="7"/>
              </w:numPr>
              <w:spacing w:after="80" w:line="276" w:lineRule="auto"/>
              <w:jc w:val="both"/>
              <w:rPr>
                <w:rFonts w:cstheme="minorHAnsi"/>
              </w:rPr>
            </w:pPr>
            <w:r w:rsidRPr="002A1C51">
              <w:rPr>
                <w:rFonts w:cstheme="minorHAnsi"/>
              </w:rPr>
              <w:t>Lhůta pro iniciaci součinnosti či iniciaci zásahu na straně Objednatele, provozovatele infrastruktury, technologických vendorů či subjektů zajišťujících 3. úroveň podpory – bez zbytečného prodlení po identifikaci potřeby této součinnosti</w:t>
            </w:r>
          </w:p>
          <w:p w14:paraId="6ABA1717" w14:textId="77777777" w:rsidR="003A2C40" w:rsidRPr="002A1C51" w:rsidRDefault="003A2C40" w:rsidP="003A2C40">
            <w:pPr>
              <w:pStyle w:val="Odstavecseseznamem"/>
              <w:numPr>
                <w:ilvl w:val="0"/>
                <w:numId w:val="7"/>
              </w:numPr>
              <w:spacing w:after="80" w:line="276" w:lineRule="auto"/>
              <w:jc w:val="both"/>
              <w:rPr>
                <w:rFonts w:cstheme="minorHAnsi"/>
              </w:rPr>
            </w:pPr>
            <w:r w:rsidRPr="002A1C51">
              <w:rPr>
                <w:rFonts w:cstheme="minorHAnsi"/>
              </w:rPr>
              <w:lastRenderedPageBreak/>
              <w:t xml:space="preserve">Lhůta pro poskytnutí informací na dotaz Objednatele, provozovatele infrastruktury, technologických vendorů či subjektů zajišťujících 3. úroveň podpory – 1 hod </w:t>
            </w:r>
          </w:p>
          <w:p w14:paraId="0014AD58" w14:textId="77777777" w:rsidR="003A2C40" w:rsidRPr="002A1C51" w:rsidRDefault="003A2C40" w:rsidP="003A2C40">
            <w:pPr>
              <w:pStyle w:val="Odstavecseseznamem"/>
              <w:numPr>
                <w:ilvl w:val="0"/>
                <w:numId w:val="7"/>
              </w:numPr>
              <w:spacing w:after="80" w:line="276" w:lineRule="auto"/>
              <w:jc w:val="both"/>
              <w:rPr>
                <w:rFonts w:cstheme="minorHAnsi"/>
              </w:rPr>
            </w:pPr>
            <w:r w:rsidRPr="002A1C51">
              <w:rPr>
                <w:rFonts w:cstheme="minorHAnsi"/>
              </w:rPr>
              <w:t>Lhůta pro odstranění nestandardního či chybového stavu:</w:t>
            </w:r>
          </w:p>
          <w:p w14:paraId="344AB03B" w14:textId="77777777" w:rsidR="003A2C40" w:rsidRPr="002A1C51" w:rsidRDefault="003A2C40" w:rsidP="003A2C40">
            <w:pPr>
              <w:pStyle w:val="Odstavecseseznamem"/>
              <w:numPr>
                <w:ilvl w:val="1"/>
                <w:numId w:val="7"/>
              </w:numPr>
              <w:spacing w:after="80" w:line="276" w:lineRule="auto"/>
              <w:jc w:val="both"/>
              <w:rPr>
                <w:rFonts w:cstheme="minorHAnsi"/>
              </w:rPr>
            </w:pPr>
            <w:r w:rsidRPr="002A1C51">
              <w:rPr>
                <w:rFonts w:cstheme="minorHAnsi"/>
              </w:rPr>
              <w:t xml:space="preserve">Kategorie </w:t>
            </w:r>
            <w:proofErr w:type="gramStart"/>
            <w:r w:rsidRPr="002A1C51">
              <w:rPr>
                <w:rFonts w:cstheme="minorHAnsi"/>
              </w:rPr>
              <w:t>A – 8</w:t>
            </w:r>
            <w:proofErr w:type="gramEnd"/>
            <w:r w:rsidRPr="002A1C51">
              <w:rPr>
                <w:rFonts w:cstheme="minorHAnsi"/>
              </w:rPr>
              <w:t xml:space="preserve"> hod </w:t>
            </w:r>
          </w:p>
          <w:p w14:paraId="3057A82B" w14:textId="77777777" w:rsidR="003A2C40" w:rsidRPr="002A1C51" w:rsidRDefault="003A2C40" w:rsidP="003A2C40">
            <w:pPr>
              <w:pStyle w:val="Odstavecseseznamem"/>
              <w:numPr>
                <w:ilvl w:val="1"/>
                <w:numId w:val="7"/>
              </w:numPr>
              <w:spacing w:after="80" w:line="276" w:lineRule="auto"/>
              <w:jc w:val="both"/>
              <w:rPr>
                <w:rFonts w:cstheme="minorHAnsi"/>
              </w:rPr>
            </w:pPr>
            <w:r w:rsidRPr="002A1C51">
              <w:rPr>
                <w:rFonts w:cstheme="minorHAnsi"/>
              </w:rPr>
              <w:t xml:space="preserve">Kategorie </w:t>
            </w:r>
            <w:proofErr w:type="gramStart"/>
            <w:r w:rsidRPr="002A1C51">
              <w:rPr>
                <w:rFonts w:cstheme="minorHAnsi"/>
              </w:rPr>
              <w:t>B – 3</w:t>
            </w:r>
            <w:proofErr w:type="gramEnd"/>
            <w:r w:rsidRPr="002A1C51">
              <w:rPr>
                <w:rFonts w:cstheme="minorHAnsi"/>
              </w:rPr>
              <w:t xml:space="preserve"> pracovní dny</w:t>
            </w:r>
          </w:p>
          <w:p w14:paraId="2DDB4DD8" w14:textId="77777777" w:rsidR="003A2C40" w:rsidRPr="002A1C51" w:rsidRDefault="003A2C40" w:rsidP="003A2C40">
            <w:pPr>
              <w:pStyle w:val="Odstavecseseznamem"/>
              <w:numPr>
                <w:ilvl w:val="1"/>
                <w:numId w:val="7"/>
              </w:numPr>
              <w:spacing w:after="80" w:line="276" w:lineRule="auto"/>
              <w:jc w:val="both"/>
              <w:rPr>
                <w:rFonts w:cstheme="minorHAnsi"/>
              </w:rPr>
            </w:pPr>
            <w:r w:rsidRPr="002A1C51">
              <w:rPr>
                <w:rFonts w:cstheme="minorHAnsi"/>
              </w:rPr>
              <w:t xml:space="preserve">Kategorie </w:t>
            </w:r>
            <w:proofErr w:type="gramStart"/>
            <w:r w:rsidRPr="002A1C51">
              <w:rPr>
                <w:rFonts w:cstheme="minorHAnsi"/>
              </w:rPr>
              <w:t>C – 5</w:t>
            </w:r>
            <w:proofErr w:type="gramEnd"/>
            <w:r w:rsidRPr="002A1C51">
              <w:rPr>
                <w:rFonts w:cstheme="minorHAnsi"/>
              </w:rPr>
              <w:t xml:space="preserve"> pracovních dnů</w:t>
            </w:r>
          </w:p>
          <w:p w14:paraId="5146113D" w14:textId="77777777" w:rsidR="003A2C40" w:rsidRPr="002A1C51" w:rsidRDefault="003A2C40" w:rsidP="003A2C40">
            <w:pPr>
              <w:pStyle w:val="Odstavecseseznamem"/>
              <w:numPr>
                <w:ilvl w:val="0"/>
                <w:numId w:val="7"/>
              </w:numPr>
              <w:spacing w:after="80" w:line="276" w:lineRule="auto"/>
              <w:jc w:val="both"/>
              <w:rPr>
                <w:rFonts w:cstheme="minorHAnsi"/>
              </w:rPr>
            </w:pPr>
            <w:r w:rsidRPr="002A1C51">
              <w:rPr>
                <w:rFonts w:cstheme="minorHAnsi"/>
              </w:rPr>
              <w:t>Lhůta pro vyhodnocení příčin nestandardního či chybového stavu – 3 pracovní dny od odstranění nestandardního či chybového stavu</w:t>
            </w:r>
          </w:p>
          <w:p w14:paraId="08102CBA" w14:textId="77777777" w:rsidR="003A2C40" w:rsidRPr="002A1C51" w:rsidRDefault="003A2C40" w:rsidP="003A2C40">
            <w:pPr>
              <w:rPr>
                <w:rFonts w:cstheme="minorHAnsi"/>
              </w:rPr>
            </w:pPr>
            <w:r w:rsidRPr="002A1C51">
              <w:rPr>
                <w:rFonts w:cstheme="minorHAnsi"/>
              </w:rPr>
              <w:t>Lhůty jsou, pokud není uvedeno jinak, počítány od přijetí incidentu.</w:t>
            </w:r>
          </w:p>
          <w:p w14:paraId="6F908DB2" w14:textId="77777777" w:rsidR="003A2C40" w:rsidRPr="002A1C51" w:rsidRDefault="003A2C40" w:rsidP="003A2C40">
            <w:pPr>
              <w:rPr>
                <w:rFonts w:cstheme="minorHAnsi"/>
              </w:rPr>
            </w:pPr>
            <w:r w:rsidRPr="002A1C51">
              <w:rPr>
                <w:rFonts w:cstheme="minorHAnsi"/>
              </w:rPr>
              <w:t>Odstraněním nestandardního či chybového stavu se pro všechny kategorie vad rozumí nasazení opravy do produkčního prostředí. Do lhůty není započítávána doba, po kterou je na základě rozhodnutí MZe odloženo nasazení opravy do produkčního prostředí.</w:t>
            </w:r>
          </w:p>
          <w:p w14:paraId="4CD65ADB" w14:textId="597E8A6A" w:rsidR="003A2C40" w:rsidRPr="0066390A" w:rsidRDefault="003A2C40" w:rsidP="00065D8C">
            <w:pPr>
              <w:spacing w:after="120"/>
              <w:contextualSpacing/>
              <w:jc w:val="both"/>
              <w:rPr>
                <w:rFonts w:ascii="Calibri" w:eastAsia="Calibri" w:hAnsi="Calibri" w:cs="Calibri"/>
                <w:sz w:val="20"/>
                <w:szCs w:val="20"/>
              </w:rPr>
            </w:pPr>
          </w:p>
        </w:tc>
      </w:tr>
      <w:tr w:rsidR="00E574D8" w:rsidRPr="0066390A" w14:paraId="67D42FF5" w14:textId="77777777" w:rsidTr="00065D8C">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7CD3E3B9" w14:textId="77777777" w:rsidR="00E574D8" w:rsidRPr="00001603" w:rsidRDefault="00E574D8" w:rsidP="00065D8C">
            <w:pPr>
              <w:keepLines/>
              <w:widowControl w:val="0"/>
              <w:spacing w:before="60" w:after="60" w:line="240" w:lineRule="auto"/>
              <w:rPr>
                <w:rFonts w:cs="Tahoma"/>
                <w:lang w:val="x-none" w:eastAsia="x-none"/>
              </w:rPr>
            </w:pPr>
            <w:r w:rsidRPr="0C0C159F">
              <w:rPr>
                <w:rFonts w:ascii="Segoe UI" w:eastAsia="Segoe UI" w:hAnsi="Segoe UI" w:cs="Segoe UI"/>
                <w:b/>
                <w:bCs/>
                <w:sz w:val="18"/>
                <w:szCs w:val="18"/>
              </w:rPr>
              <w:lastRenderedPageBreak/>
              <w:t xml:space="preserve"> Požadovaná úroveň služeb</w:t>
            </w:r>
          </w:p>
        </w:tc>
      </w:tr>
      <w:tr w:rsidR="00E574D8" w:rsidRPr="0066390A" w14:paraId="177F3FA3" w14:textId="77777777" w:rsidTr="00065D8C">
        <w:trPr>
          <w:trHeight w:val="866"/>
        </w:trPr>
        <w:tc>
          <w:tcPr>
            <w:tcW w:w="5000" w:type="pct"/>
            <w:gridSpan w:val="4"/>
            <w:tcBorders>
              <w:top w:val="single" w:sz="6" w:space="0" w:color="auto"/>
              <w:left w:val="double" w:sz="4" w:space="0" w:color="auto"/>
              <w:bottom w:val="single" w:sz="6" w:space="0" w:color="auto"/>
              <w:right w:val="double" w:sz="4" w:space="0" w:color="auto"/>
            </w:tcBorders>
            <w:shd w:val="clear" w:color="auto" w:fill="auto"/>
          </w:tcPr>
          <w:p w14:paraId="18DF78D8" w14:textId="5D58894C" w:rsidR="00E574D8" w:rsidRPr="00001603" w:rsidRDefault="00E574D8" w:rsidP="00065D8C">
            <w:pPr>
              <w:spacing w:before="240" w:after="240"/>
              <w:rPr>
                <w:rFonts w:ascii="Segoe UI" w:eastAsia="Segoe UI" w:hAnsi="Segoe UI" w:cs="Segoe UI"/>
                <w:sz w:val="18"/>
                <w:szCs w:val="18"/>
              </w:rPr>
            </w:pPr>
            <w:r w:rsidRPr="0C0C159F">
              <w:rPr>
                <w:rFonts w:cs="Tahoma"/>
                <w:lang w:val="x-none" w:eastAsia="x-none"/>
              </w:rPr>
              <w:fldChar w:fldCharType="begin"/>
            </w:r>
            <w:r w:rsidRPr="0C0C159F">
              <w:rPr>
                <w:rFonts w:cs="Tahoma"/>
                <w:lang w:val="x-none" w:eastAsia="x-none"/>
              </w:rPr>
              <w:instrText xml:space="preserve"> REF _Ref534644047 \r \h  \* MERGEFORMAT </w:instrText>
            </w:r>
            <w:r w:rsidRPr="0C0C159F">
              <w:rPr>
                <w:rFonts w:cs="Tahoma"/>
                <w:lang w:val="x-none" w:eastAsia="x-none"/>
              </w:rPr>
            </w:r>
            <w:r w:rsidR="00000000">
              <w:rPr>
                <w:rFonts w:cs="Tahoma"/>
                <w:lang w:val="x-none" w:eastAsia="x-none"/>
              </w:rPr>
              <w:fldChar w:fldCharType="separate"/>
            </w:r>
            <w:r w:rsidRPr="0C0C159F">
              <w:rPr>
                <w:rFonts w:cs="Tahoma"/>
                <w:lang w:val="x-none" w:eastAsia="x-none"/>
              </w:rPr>
              <w:fldChar w:fldCharType="end"/>
            </w:r>
            <w:r w:rsidRPr="0C0C159F">
              <w:rPr>
                <w:rFonts w:cs="Tahoma"/>
                <w:lang w:val="x-none" w:eastAsia="x-none"/>
              </w:rPr>
              <w:fldChar w:fldCharType="begin"/>
            </w:r>
            <w:r w:rsidRPr="0C0C159F">
              <w:rPr>
                <w:rFonts w:cs="Tahoma"/>
                <w:lang w:val="x-none" w:eastAsia="x-none"/>
              </w:rPr>
              <w:instrText xml:space="preserve"> REF _Ref533865983 \r \h  \* MERGEFORMAT </w:instrText>
            </w:r>
            <w:r w:rsidRPr="0C0C159F">
              <w:rPr>
                <w:rFonts w:cs="Tahoma"/>
                <w:lang w:val="x-none" w:eastAsia="x-none"/>
              </w:rPr>
            </w:r>
            <w:r w:rsidR="00000000">
              <w:rPr>
                <w:rFonts w:cs="Tahoma"/>
                <w:lang w:val="x-none" w:eastAsia="x-none"/>
              </w:rPr>
              <w:fldChar w:fldCharType="separate"/>
            </w:r>
            <w:r w:rsidRPr="0C0C159F">
              <w:rPr>
                <w:rFonts w:cs="Tahoma"/>
                <w:lang w:val="x-none" w:eastAsia="x-none"/>
              </w:rPr>
              <w:fldChar w:fldCharType="end"/>
            </w:r>
            <w:r w:rsidRPr="0C0C159F">
              <w:rPr>
                <w:rFonts w:ascii="Segoe UI" w:eastAsia="Segoe UI" w:hAnsi="Segoe UI" w:cs="Segoe UI"/>
                <w:sz w:val="18"/>
                <w:szCs w:val="18"/>
              </w:rPr>
              <w:t xml:space="preserve"> Produkční prostředí: </w:t>
            </w:r>
            <w:r w:rsidR="003A2C40">
              <w:rPr>
                <w:rFonts w:ascii="Segoe UI" w:eastAsia="Segoe UI" w:hAnsi="Segoe UI" w:cs="Segoe UI"/>
                <w:sz w:val="18"/>
                <w:szCs w:val="18"/>
              </w:rPr>
              <w:t>BRONZ</w:t>
            </w:r>
          </w:p>
          <w:p w14:paraId="6F57D47A" w14:textId="49EE6138" w:rsidR="00E574D8" w:rsidRPr="0082192F" w:rsidRDefault="00E574D8" w:rsidP="0082192F">
            <w:pPr>
              <w:spacing w:before="240" w:after="240"/>
              <w:rPr>
                <w:rFonts w:ascii="Segoe UI" w:eastAsia="Segoe UI" w:hAnsi="Segoe UI" w:cs="Segoe UI"/>
                <w:sz w:val="18"/>
                <w:szCs w:val="18"/>
              </w:rPr>
            </w:pPr>
            <w:r w:rsidRPr="0C0C159F">
              <w:rPr>
                <w:rFonts w:ascii="Segoe UI" w:eastAsia="Segoe UI" w:hAnsi="Segoe UI" w:cs="Segoe UI"/>
                <w:sz w:val="18"/>
                <w:szCs w:val="18"/>
              </w:rPr>
              <w:t>Testovací prostředí: TEST</w:t>
            </w:r>
          </w:p>
        </w:tc>
      </w:tr>
    </w:tbl>
    <w:p w14:paraId="18347278" w14:textId="004A53DA" w:rsidR="00130B03" w:rsidRDefault="00130B03"/>
    <w:p w14:paraId="3E7F85D2" w14:textId="77777777" w:rsidR="00130B03" w:rsidRDefault="00130B03">
      <w:r>
        <w:br w:type="page"/>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4490"/>
        <w:gridCol w:w="1121"/>
        <w:gridCol w:w="1615"/>
      </w:tblGrid>
      <w:tr w:rsidR="0082192F" w:rsidRPr="00D1738C" w14:paraId="5C5F11DE" w14:textId="77777777" w:rsidTr="00065D8C">
        <w:trPr>
          <w:trHeight w:val="244"/>
        </w:trPr>
        <w:tc>
          <w:tcPr>
            <w:tcW w:w="1139" w:type="pct"/>
            <w:tcBorders>
              <w:top w:val="double" w:sz="4" w:space="0" w:color="auto"/>
              <w:left w:val="double" w:sz="4" w:space="0" w:color="auto"/>
              <w:bottom w:val="double" w:sz="4" w:space="0" w:color="auto"/>
              <w:right w:val="double" w:sz="4" w:space="0" w:color="auto"/>
            </w:tcBorders>
            <w:shd w:val="clear" w:color="auto" w:fill="ABBB59"/>
            <w:vAlign w:val="center"/>
          </w:tcPr>
          <w:p w14:paraId="4B441259" w14:textId="77777777" w:rsidR="0082192F" w:rsidRPr="00D1738C" w:rsidRDefault="0082192F" w:rsidP="00065D8C">
            <w:pPr>
              <w:keepLines/>
              <w:widowControl w:val="0"/>
              <w:spacing w:before="60" w:after="60" w:line="240" w:lineRule="auto"/>
              <w:rPr>
                <w:rFonts w:cs="Tahoma"/>
                <w:b/>
                <w:szCs w:val="20"/>
              </w:rPr>
            </w:pPr>
            <w:r w:rsidRPr="00D1738C">
              <w:rPr>
                <w:rFonts w:cs="Tahoma"/>
                <w:b/>
                <w:color w:val="FFFFFF" w:themeColor="background1"/>
                <w:szCs w:val="20"/>
              </w:rPr>
              <w:lastRenderedPageBreak/>
              <w:t>Název služby</w:t>
            </w:r>
          </w:p>
        </w:tc>
        <w:tc>
          <w:tcPr>
            <w:tcW w:w="2399" w:type="pct"/>
            <w:tcBorders>
              <w:top w:val="double" w:sz="4" w:space="0" w:color="auto"/>
              <w:left w:val="double" w:sz="4" w:space="0" w:color="auto"/>
              <w:bottom w:val="double" w:sz="4" w:space="0" w:color="auto"/>
              <w:right w:val="double" w:sz="4" w:space="0" w:color="auto"/>
            </w:tcBorders>
            <w:shd w:val="clear" w:color="auto" w:fill="auto"/>
            <w:vAlign w:val="center"/>
          </w:tcPr>
          <w:p w14:paraId="0D80AF9C" w14:textId="4429766D" w:rsidR="0082192F" w:rsidRPr="00D1738C" w:rsidRDefault="0082192F" w:rsidP="00065D8C">
            <w:pPr>
              <w:keepLines/>
              <w:widowControl w:val="0"/>
              <w:spacing w:before="60" w:after="60" w:line="288" w:lineRule="auto"/>
              <w:contextualSpacing/>
              <w:rPr>
                <w:rFonts w:cs="Tahoma"/>
                <w:b/>
                <w:szCs w:val="20"/>
              </w:rPr>
            </w:pPr>
            <w:r w:rsidRPr="002A1C51">
              <w:rPr>
                <w:rFonts w:cstheme="minorHAnsi"/>
              </w:rPr>
              <w:t>Preventivní služby podpory</w:t>
            </w:r>
          </w:p>
        </w:tc>
        <w:tc>
          <w:tcPr>
            <w:tcW w:w="599" w:type="pct"/>
            <w:tcBorders>
              <w:top w:val="double" w:sz="4" w:space="0" w:color="auto"/>
              <w:left w:val="double" w:sz="4" w:space="0" w:color="auto"/>
              <w:bottom w:val="double" w:sz="4" w:space="0" w:color="auto"/>
              <w:right w:val="double" w:sz="4" w:space="0" w:color="auto"/>
            </w:tcBorders>
            <w:shd w:val="clear" w:color="auto" w:fill="ABBB59"/>
            <w:vAlign w:val="center"/>
          </w:tcPr>
          <w:p w14:paraId="1CDDADE5" w14:textId="77777777" w:rsidR="0082192F" w:rsidRPr="00D1738C" w:rsidRDefault="0082192F" w:rsidP="00065D8C">
            <w:pPr>
              <w:pStyle w:val="Zkladntext"/>
              <w:keepLines/>
              <w:widowControl w:val="0"/>
              <w:spacing w:before="60" w:after="60" w:line="240" w:lineRule="auto"/>
              <w:rPr>
                <w:rFonts w:cs="Tahoma"/>
                <w:b/>
                <w:szCs w:val="20"/>
              </w:rPr>
            </w:pPr>
            <w:r w:rsidRPr="00D1738C">
              <w:rPr>
                <w:rFonts w:cs="Tahoma"/>
                <w:b/>
                <w:color w:val="FFFFFF" w:themeColor="background1"/>
                <w:szCs w:val="20"/>
              </w:rPr>
              <w:t>TYP KL:</w:t>
            </w:r>
          </w:p>
        </w:tc>
        <w:tc>
          <w:tcPr>
            <w:tcW w:w="863" w:type="pct"/>
            <w:tcBorders>
              <w:top w:val="double" w:sz="4" w:space="0" w:color="auto"/>
              <w:left w:val="double" w:sz="4" w:space="0" w:color="auto"/>
              <w:bottom w:val="double" w:sz="4" w:space="0" w:color="auto"/>
              <w:right w:val="double" w:sz="4" w:space="0" w:color="auto"/>
            </w:tcBorders>
            <w:shd w:val="clear" w:color="auto" w:fill="auto"/>
            <w:vAlign w:val="center"/>
          </w:tcPr>
          <w:p w14:paraId="7F64E2D5" w14:textId="3F2F732D" w:rsidR="0082192F" w:rsidRPr="00D1738C" w:rsidRDefault="00130B03" w:rsidP="00065D8C">
            <w:pPr>
              <w:pStyle w:val="Zkladntext"/>
              <w:keepLines/>
              <w:widowControl w:val="0"/>
              <w:spacing w:before="60" w:after="60" w:line="240" w:lineRule="auto"/>
              <w:jc w:val="right"/>
              <w:rPr>
                <w:rFonts w:cs="Tahoma"/>
                <w:b/>
                <w:szCs w:val="20"/>
              </w:rPr>
            </w:pPr>
            <w:r>
              <w:rPr>
                <w:rFonts w:cs="Tahoma"/>
                <w:b/>
                <w:szCs w:val="20"/>
              </w:rPr>
              <w:t xml:space="preserve">ITSM – 003 </w:t>
            </w:r>
            <w:r w:rsidR="0082192F" w:rsidRPr="00D1738C">
              <w:rPr>
                <w:rFonts w:cs="Tahoma"/>
                <w:b/>
                <w:szCs w:val="20"/>
              </w:rPr>
              <w:t>Paušální</w:t>
            </w:r>
          </w:p>
        </w:tc>
      </w:tr>
      <w:tr w:rsidR="0082192F" w:rsidRPr="00D1738C" w14:paraId="015D8AA9" w14:textId="77777777" w:rsidTr="00065D8C">
        <w:trPr>
          <w:trHeight w:val="237"/>
        </w:trPr>
        <w:tc>
          <w:tcPr>
            <w:tcW w:w="1139" w:type="pct"/>
            <w:tcBorders>
              <w:top w:val="single" w:sz="6" w:space="0" w:color="auto"/>
              <w:left w:val="double" w:sz="4" w:space="0" w:color="auto"/>
              <w:bottom w:val="single" w:sz="6" w:space="0" w:color="auto"/>
              <w:right w:val="single" w:sz="6" w:space="0" w:color="auto"/>
            </w:tcBorders>
            <w:vAlign w:val="center"/>
          </w:tcPr>
          <w:p w14:paraId="463D61AB" w14:textId="77777777" w:rsidR="0082192F" w:rsidRPr="00D1738C" w:rsidRDefault="0082192F" w:rsidP="00065D8C">
            <w:pPr>
              <w:pStyle w:val="Zkladntext"/>
              <w:keepLines/>
              <w:widowControl w:val="0"/>
              <w:spacing w:before="60" w:after="60" w:line="240" w:lineRule="auto"/>
              <w:rPr>
                <w:rFonts w:cs="Tahoma"/>
                <w:b/>
                <w:szCs w:val="20"/>
              </w:rPr>
            </w:pPr>
            <w:r w:rsidRPr="00D1738C">
              <w:rPr>
                <w:rFonts w:cs="Tahoma"/>
                <w:b/>
                <w:szCs w:val="20"/>
              </w:rPr>
              <w:t>Zkrácený popis služby</w:t>
            </w:r>
          </w:p>
        </w:tc>
        <w:tc>
          <w:tcPr>
            <w:tcW w:w="3861" w:type="pct"/>
            <w:gridSpan w:val="3"/>
            <w:tcBorders>
              <w:top w:val="single" w:sz="6" w:space="0" w:color="auto"/>
              <w:left w:val="single" w:sz="6" w:space="0" w:color="auto"/>
              <w:bottom w:val="single" w:sz="6" w:space="0" w:color="auto"/>
              <w:right w:val="double" w:sz="4" w:space="0" w:color="auto"/>
            </w:tcBorders>
            <w:vAlign w:val="center"/>
          </w:tcPr>
          <w:p w14:paraId="3BD8A5CD" w14:textId="0E0DB0A6" w:rsidR="0082192F" w:rsidRPr="0082192F" w:rsidRDefault="0082192F" w:rsidP="0082192F">
            <w:pPr>
              <w:rPr>
                <w:rFonts w:cstheme="minorHAnsi"/>
              </w:rPr>
            </w:pPr>
            <w:r w:rsidRPr="002A1C51">
              <w:rPr>
                <w:rFonts w:cstheme="minorHAnsi"/>
              </w:rPr>
              <w:t>Proaktivní podpora řádného provozu zaměřená na detekci problémů a provádění úkonů směřujících k proaktivnímu předcházení vzniku negativních provozních událostí či incidentů.</w:t>
            </w:r>
          </w:p>
        </w:tc>
      </w:tr>
      <w:tr w:rsidR="0082192F" w:rsidRPr="0066390A" w14:paraId="31D73FF9" w14:textId="77777777" w:rsidTr="00065D8C">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7C9D190F" w14:textId="77777777" w:rsidR="0082192F" w:rsidRPr="00D1738C" w:rsidRDefault="0082192F" w:rsidP="00065D8C">
            <w:pPr>
              <w:keepLines/>
              <w:widowControl w:val="0"/>
              <w:spacing w:before="60" w:after="60" w:line="240" w:lineRule="auto"/>
              <w:rPr>
                <w:rFonts w:cs="Tahoma"/>
                <w:szCs w:val="20"/>
              </w:rPr>
            </w:pPr>
            <w:r w:rsidRPr="00D1738C">
              <w:rPr>
                <w:rFonts w:cs="Tahoma"/>
                <w:b/>
                <w:color w:val="FFFFFF" w:themeColor="background1"/>
                <w:szCs w:val="20"/>
              </w:rPr>
              <w:t>DEFINICE SLUŽBY A POŽADOVANÝCH ČINNOSTÍ</w:t>
            </w:r>
          </w:p>
        </w:tc>
      </w:tr>
      <w:tr w:rsidR="0082192F" w:rsidRPr="0066390A" w14:paraId="65CDB81F" w14:textId="77777777" w:rsidTr="00065D8C">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4DBB9467" w14:textId="77777777" w:rsidR="0082192F" w:rsidRPr="002A1C51" w:rsidRDefault="0082192F" w:rsidP="0082192F">
            <w:pPr>
              <w:rPr>
                <w:rFonts w:cstheme="minorHAnsi"/>
                <w:b/>
                <w:bCs/>
              </w:rPr>
            </w:pPr>
            <w:r w:rsidRPr="002A1C51">
              <w:rPr>
                <w:rFonts w:cstheme="minorHAnsi"/>
                <w:b/>
                <w:bCs/>
              </w:rPr>
              <w:t>Popis služby</w:t>
            </w:r>
          </w:p>
          <w:p w14:paraId="303920F7" w14:textId="77777777" w:rsidR="0082192F" w:rsidRPr="002A1C51" w:rsidRDefault="0082192F" w:rsidP="0082192F">
            <w:pPr>
              <w:rPr>
                <w:rFonts w:cstheme="minorHAnsi"/>
              </w:rPr>
            </w:pPr>
            <w:r w:rsidRPr="002A1C51">
              <w:rPr>
                <w:rFonts w:cstheme="minorHAnsi"/>
              </w:rPr>
              <w:t>Proaktivní podpora řádného provozu zaměřená na detekci problémů a provádění úkonů směřujících k proaktivnímu předcházení vzniku negativních provozních událostí či incidentů.</w:t>
            </w:r>
          </w:p>
          <w:p w14:paraId="1AB26CA3" w14:textId="77777777" w:rsidR="0082192F" w:rsidRPr="002A1C51" w:rsidRDefault="0082192F" w:rsidP="0082192F">
            <w:pPr>
              <w:rPr>
                <w:rFonts w:cstheme="minorHAnsi"/>
              </w:rPr>
            </w:pPr>
            <w:r w:rsidRPr="002A1C51">
              <w:rPr>
                <w:rFonts w:cstheme="minorHAnsi"/>
              </w:rPr>
              <w:t>Služba zahrnuje:</w:t>
            </w:r>
          </w:p>
          <w:p w14:paraId="49FE78F0" w14:textId="77777777" w:rsidR="0082192F" w:rsidRPr="002A1C51" w:rsidRDefault="0082192F" w:rsidP="0082192F">
            <w:pPr>
              <w:pStyle w:val="Odstavecseseznamem"/>
              <w:numPr>
                <w:ilvl w:val="0"/>
                <w:numId w:val="9"/>
              </w:numPr>
              <w:spacing w:after="80" w:line="276" w:lineRule="auto"/>
              <w:jc w:val="both"/>
              <w:rPr>
                <w:rFonts w:cstheme="minorHAnsi"/>
              </w:rPr>
            </w:pPr>
            <w:r w:rsidRPr="002A1C51">
              <w:rPr>
                <w:rFonts w:cstheme="minorHAnsi"/>
              </w:rPr>
              <w:t>analýzu příčin událostí a incidentů,</w:t>
            </w:r>
          </w:p>
          <w:p w14:paraId="42727338" w14:textId="77777777" w:rsidR="0082192F" w:rsidRPr="002A1C51" w:rsidRDefault="0082192F" w:rsidP="0082192F">
            <w:pPr>
              <w:pStyle w:val="Odstavecseseznamem"/>
              <w:numPr>
                <w:ilvl w:val="0"/>
                <w:numId w:val="9"/>
              </w:numPr>
              <w:spacing w:after="80" w:line="276" w:lineRule="auto"/>
              <w:jc w:val="both"/>
              <w:rPr>
                <w:rFonts w:cstheme="minorHAnsi"/>
              </w:rPr>
            </w:pPr>
            <w:r w:rsidRPr="002A1C51">
              <w:rPr>
                <w:rFonts w:cstheme="minorHAnsi"/>
              </w:rPr>
              <w:t>analýzu logů a trendů,</w:t>
            </w:r>
          </w:p>
          <w:p w14:paraId="3BBAF1A1" w14:textId="77777777" w:rsidR="0082192F" w:rsidRPr="002A1C51" w:rsidRDefault="0082192F" w:rsidP="0082192F">
            <w:pPr>
              <w:pStyle w:val="Odstavecseseznamem"/>
              <w:numPr>
                <w:ilvl w:val="0"/>
                <w:numId w:val="9"/>
              </w:numPr>
              <w:spacing w:after="80" w:line="276" w:lineRule="auto"/>
              <w:jc w:val="both"/>
              <w:rPr>
                <w:rFonts w:cstheme="minorHAnsi"/>
              </w:rPr>
            </w:pPr>
            <w:r w:rsidRPr="002A1C51">
              <w:rPr>
                <w:rFonts w:cstheme="minorHAnsi"/>
              </w:rPr>
              <w:t>testování prvků infrastruktury,</w:t>
            </w:r>
          </w:p>
          <w:p w14:paraId="0DD46F81" w14:textId="77777777" w:rsidR="0082192F" w:rsidRPr="002A1C51" w:rsidRDefault="0082192F" w:rsidP="0082192F">
            <w:pPr>
              <w:pStyle w:val="Odstavecseseznamem"/>
              <w:numPr>
                <w:ilvl w:val="0"/>
                <w:numId w:val="9"/>
              </w:numPr>
              <w:spacing w:after="80" w:line="276" w:lineRule="auto"/>
              <w:jc w:val="both"/>
              <w:rPr>
                <w:rFonts w:cstheme="minorHAnsi"/>
              </w:rPr>
            </w:pPr>
            <w:r w:rsidRPr="002A1C51">
              <w:rPr>
                <w:rFonts w:cstheme="minorHAnsi"/>
              </w:rPr>
              <w:t>návrh a realizaci změn vedoucích k optimalizaci fungování infrastruktury,</w:t>
            </w:r>
          </w:p>
          <w:p w14:paraId="29C65C51" w14:textId="77777777" w:rsidR="0082192F" w:rsidRPr="002A1C51" w:rsidRDefault="0082192F" w:rsidP="0082192F">
            <w:pPr>
              <w:pStyle w:val="Odstavecseseznamem"/>
              <w:numPr>
                <w:ilvl w:val="0"/>
                <w:numId w:val="9"/>
              </w:numPr>
              <w:spacing w:after="80" w:line="276" w:lineRule="auto"/>
              <w:jc w:val="both"/>
              <w:rPr>
                <w:rFonts w:cstheme="minorHAnsi"/>
              </w:rPr>
            </w:pPr>
            <w:r w:rsidRPr="002A1C51">
              <w:rPr>
                <w:rFonts w:cstheme="minorHAnsi"/>
              </w:rPr>
              <w:t>návrh a realizaci změn dokumentace.</w:t>
            </w:r>
          </w:p>
          <w:p w14:paraId="39D04899" w14:textId="77777777" w:rsidR="0082192F" w:rsidRPr="002A1C51" w:rsidRDefault="0082192F" w:rsidP="0082192F">
            <w:pPr>
              <w:rPr>
                <w:rFonts w:cstheme="minorHAnsi"/>
              </w:rPr>
            </w:pPr>
            <w:r w:rsidRPr="002A1C51">
              <w:rPr>
                <w:rFonts w:cstheme="minorHAnsi"/>
              </w:rPr>
              <w:t>Činnosti budou prováděny na základě navrženého plánu i reaktivně v návaznosti na aktuální provozní události a incidenty.</w:t>
            </w:r>
          </w:p>
          <w:p w14:paraId="067DDFC4" w14:textId="77777777" w:rsidR="0082192F" w:rsidRPr="002A1C51" w:rsidRDefault="0082192F" w:rsidP="0082192F">
            <w:pPr>
              <w:rPr>
                <w:rFonts w:cstheme="minorHAnsi"/>
                <w:b/>
                <w:bCs/>
              </w:rPr>
            </w:pPr>
            <w:r w:rsidRPr="002A1C51">
              <w:rPr>
                <w:rFonts w:cstheme="minorHAnsi"/>
                <w:b/>
                <w:bCs/>
              </w:rPr>
              <w:t>Položka služby</w:t>
            </w:r>
          </w:p>
          <w:p w14:paraId="25FE0EF0" w14:textId="77777777" w:rsidR="0082192F" w:rsidRPr="002A1C51" w:rsidRDefault="0082192F" w:rsidP="0082192F">
            <w:pPr>
              <w:rPr>
                <w:rFonts w:cstheme="minorHAnsi"/>
              </w:rPr>
            </w:pPr>
            <w:r w:rsidRPr="002A1C51">
              <w:rPr>
                <w:rFonts w:cstheme="minorHAnsi"/>
              </w:rPr>
              <w:t>1 měsíc alokované kapacity IT specialistů zajišťujících služby pro jednotlivé části infrastruktury řešení v působnosti Dodavatele</w:t>
            </w:r>
          </w:p>
          <w:p w14:paraId="1E8FD186" w14:textId="77777777" w:rsidR="0082192F" w:rsidRPr="002A1C51" w:rsidRDefault="0082192F" w:rsidP="0082192F">
            <w:pPr>
              <w:rPr>
                <w:rFonts w:cstheme="minorHAnsi"/>
                <w:b/>
              </w:rPr>
            </w:pPr>
            <w:r w:rsidRPr="002A1C51">
              <w:rPr>
                <w:rFonts w:cstheme="minorHAnsi"/>
                <w:b/>
              </w:rPr>
              <w:t>Metriky služby (SLA)</w:t>
            </w:r>
          </w:p>
          <w:p w14:paraId="0E65CE56" w14:textId="77777777" w:rsidR="0082192F" w:rsidRPr="002A1C51" w:rsidRDefault="0082192F" w:rsidP="0082192F">
            <w:pPr>
              <w:rPr>
                <w:rFonts w:cstheme="minorHAnsi"/>
              </w:rPr>
            </w:pPr>
            <w:r w:rsidRPr="002A1C51">
              <w:rPr>
                <w:rFonts w:cstheme="minorHAnsi"/>
              </w:rPr>
              <w:t>Lhůta pro zpracování plánů provádění preventivních služeb – 5 pracovních dnů před zahájením měsíce v rámci kterého budou služby prováděny.</w:t>
            </w:r>
          </w:p>
          <w:p w14:paraId="72A965BF" w14:textId="77777777" w:rsidR="0082192F" w:rsidRPr="002A1C51" w:rsidRDefault="0082192F" w:rsidP="0082192F">
            <w:pPr>
              <w:rPr>
                <w:rFonts w:cstheme="minorHAnsi"/>
              </w:rPr>
            </w:pPr>
            <w:r w:rsidRPr="002A1C51">
              <w:rPr>
                <w:rFonts w:cstheme="minorHAnsi"/>
              </w:rPr>
              <w:t>Dodržení lhůt plynoucích z plánu provádění preventivních služeb.</w:t>
            </w:r>
          </w:p>
          <w:p w14:paraId="2033298D" w14:textId="19C8F715" w:rsidR="0082192F" w:rsidRPr="0066390A" w:rsidRDefault="0082192F" w:rsidP="00065D8C">
            <w:pPr>
              <w:spacing w:after="120"/>
              <w:contextualSpacing/>
              <w:jc w:val="both"/>
              <w:rPr>
                <w:rFonts w:ascii="Calibri" w:eastAsia="Calibri" w:hAnsi="Calibri" w:cs="Calibri"/>
                <w:sz w:val="20"/>
                <w:szCs w:val="20"/>
              </w:rPr>
            </w:pPr>
          </w:p>
        </w:tc>
      </w:tr>
      <w:tr w:rsidR="0082192F" w:rsidRPr="0066390A" w14:paraId="263AD1B7" w14:textId="77777777" w:rsidTr="00065D8C">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201D7C6B" w14:textId="77777777" w:rsidR="0082192F" w:rsidRPr="00001603" w:rsidRDefault="0082192F" w:rsidP="00065D8C">
            <w:pPr>
              <w:keepLines/>
              <w:widowControl w:val="0"/>
              <w:spacing w:before="60" w:after="60" w:line="240" w:lineRule="auto"/>
              <w:rPr>
                <w:rFonts w:cs="Tahoma"/>
                <w:lang w:val="x-none" w:eastAsia="x-none"/>
              </w:rPr>
            </w:pPr>
            <w:r w:rsidRPr="0C0C159F">
              <w:rPr>
                <w:rFonts w:ascii="Segoe UI" w:eastAsia="Segoe UI" w:hAnsi="Segoe UI" w:cs="Segoe UI"/>
                <w:b/>
                <w:bCs/>
                <w:sz w:val="18"/>
                <w:szCs w:val="18"/>
              </w:rPr>
              <w:t xml:space="preserve"> Požadovaná úroveň služeb</w:t>
            </w:r>
          </w:p>
        </w:tc>
      </w:tr>
      <w:tr w:rsidR="0082192F" w:rsidRPr="0066390A" w14:paraId="34BD8318" w14:textId="77777777" w:rsidTr="00065D8C">
        <w:trPr>
          <w:trHeight w:val="866"/>
        </w:trPr>
        <w:tc>
          <w:tcPr>
            <w:tcW w:w="5000" w:type="pct"/>
            <w:gridSpan w:val="4"/>
            <w:tcBorders>
              <w:top w:val="single" w:sz="6" w:space="0" w:color="auto"/>
              <w:left w:val="double" w:sz="4" w:space="0" w:color="auto"/>
              <w:bottom w:val="single" w:sz="6" w:space="0" w:color="auto"/>
              <w:right w:val="double" w:sz="4" w:space="0" w:color="auto"/>
            </w:tcBorders>
            <w:shd w:val="clear" w:color="auto" w:fill="auto"/>
          </w:tcPr>
          <w:p w14:paraId="4FAE4416" w14:textId="428F1F82" w:rsidR="0082192F" w:rsidRPr="00001603" w:rsidRDefault="0082192F" w:rsidP="00065D8C">
            <w:pPr>
              <w:spacing w:before="240" w:after="240"/>
              <w:rPr>
                <w:rFonts w:ascii="Segoe UI" w:eastAsia="Segoe UI" w:hAnsi="Segoe UI" w:cs="Segoe UI"/>
                <w:sz w:val="18"/>
                <w:szCs w:val="18"/>
              </w:rPr>
            </w:pPr>
            <w:r w:rsidRPr="0C0C159F">
              <w:rPr>
                <w:rFonts w:cs="Tahoma"/>
                <w:lang w:val="x-none" w:eastAsia="x-none"/>
              </w:rPr>
              <w:fldChar w:fldCharType="begin"/>
            </w:r>
            <w:r w:rsidRPr="0C0C159F">
              <w:rPr>
                <w:rFonts w:cs="Tahoma"/>
                <w:lang w:val="x-none" w:eastAsia="x-none"/>
              </w:rPr>
              <w:instrText xml:space="preserve"> REF _Ref534644047 \r \h  \* MERGEFORMAT </w:instrText>
            </w:r>
            <w:r w:rsidRPr="0C0C159F">
              <w:rPr>
                <w:rFonts w:cs="Tahoma"/>
                <w:lang w:val="x-none" w:eastAsia="x-none"/>
              </w:rPr>
            </w:r>
            <w:r w:rsidR="00000000">
              <w:rPr>
                <w:rFonts w:cs="Tahoma"/>
                <w:lang w:val="x-none" w:eastAsia="x-none"/>
              </w:rPr>
              <w:fldChar w:fldCharType="separate"/>
            </w:r>
            <w:r w:rsidRPr="0C0C159F">
              <w:rPr>
                <w:rFonts w:cs="Tahoma"/>
                <w:lang w:val="x-none" w:eastAsia="x-none"/>
              </w:rPr>
              <w:fldChar w:fldCharType="end"/>
            </w:r>
            <w:r w:rsidRPr="0C0C159F">
              <w:rPr>
                <w:rFonts w:cs="Tahoma"/>
                <w:lang w:val="x-none" w:eastAsia="x-none"/>
              </w:rPr>
              <w:fldChar w:fldCharType="begin"/>
            </w:r>
            <w:r w:rsidRPr="0C0C159F">
              <w:rPr>
                <w:rFonts w:cs="Tahoma"/>
                <w:lang w:val="x-none" w:eastAsia="x-none"/>
              </w:rPr>
              <w:instrText xml:space="preserve"> REF _Ref533865983 \r \h  \* MERGEFORMAT </w:instrText>
            </w:r>
            <w:r w:rsidRPr="0C0C159F">
              <w:rPr>
                <w:rFonts w:cs="Tahoma"/>
                <w:lang w:val="x-none" w:eastAsia="x-none"/>
              </w:rPr>
            </w:r>
            <w:r w:rsidR="00000000">
              <w:rPr>
                <w:rFonts w:cs="Tahoma"/>
                <w:lang w:val="x-none" w:eastAsia="x-none"/>
              </w:rPr>
              <w:fldChar w:fldCharType="separate"/>
            </w:r>
            <w:r w:rsidRPr="0C0C159F">
              <w:rPr>
                <w:rFonts w:cs="Tahoma"/>
                <w:lang w:val="x-none" w:eastAsia="x-none"/>
              </w:rPr>
              <w:fldChar w:fldCharType="end"/>
            </w:r>
            <w:r w:rsidRPr="0C0C159F">
              <w:rPr>
                <w:rFonts w:ascii="Segoe UI" w:eastAsia="Segoe UI" w:hAnsi="Segoe UI" w:cs="Segoe UI"/>
                <w:sz w:val="18"/>
                <w:szCs w:val="18"/>
              </w:rPr>
              <w:t xml:space="preserve"> Produkční prostředí: </w:t>
            </w:r>
            <w:r w:rsidR="00047B95">
              <w:rPr>
                <w:rFonts w:ascii="Segoe UI" w:eastAsia="Segoe UI" w:hAnsi="Segoe UI" w:cs="Segoe UI"/>
                <w:sz w:val="18"/>
                <w:szCs w:val="18"/>
              </w:rPr>
              <w:t>BRONZ</w:t>
            </w:r>
          </w:p>
          <w:p w14:paraId="45B7BC3E" w14:textId="4D1F3355" w:rsidR="0082192F" w:rsidRPr="0082192F" w:rsidRDefault="0082192F" w:rsidP="0082192F">
            <w:pPr>
              <w:spacing w:before="240" w:after="240"/>
              <w:rPr>
                <w:rFonts w:ascii="Segoe UI" w:eastAsia="Segoe UI" w:hAnsi="Segoe UI" w:cs="Segoe UI"/>
                <w:sz w:val="18"/>
                <w:szCs w:val="18"/>
              </w:rPr>
            </w:pPr>
            <w:r w:rsidRPr="0C0C159F">
              <w:rPr>
                <w:rFonts w:ascii="Segoe UI" w:eastAsia="Segoe UI" w:hAnsi="Segoe UI" w:cs="Segoe UI"/>
                <w:sz w:val="18"/>
                <w:szCs w:val="18"/>
              </w:rPr>
              <w:t>Testovací prostředí: TEST</w:t>
            </w:r>
          </w:p>
        </w:tc>
      </w:tr>
    </w:tbl>
    <w:p w14:paraId="01855F18" w14:textId="77777777" w:rsidR="00130B03" w:rsidRDefault="00130B03"/>
    <w:p w14:paraId="62C9BDDD" w14:textId="77777777" w:rsidR="00130B03" w:rsidRDefault="00130B03">
      <w:r>
        <w:br w:type="page"/>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4490"/>
        <w:gridCol w:w="1121"/>
        <w:gridCol w:w="1615"/>
      </w:tblGrid>
      <w:tr w:rsidR="0082192F" w:rsidRPr="00D1738C" w14:paraId="576DD26A" w14:textId="77777777" w:rsidTr="00065D8C">
        <w:trPr>
          <w:trHeight w:val="244"/>
        </w:trPr>
        <w:tc>
          <w:tcPr>
            <w:tcW w:w="1139" w:type="pct"/>
            <w:tcBorders>
              <w:top w:val="double" w:sz="4" w:space="0" w:color="auto"/>
              <w:left w:val="double" w:sz="4" w:space="0" w:color="auto"/>
              <w:bottom w:val="double" w:sz="4" w:space="0" w:color="auto"/>
              <w:right w:val="double" w:sz="4" w:space="0" w:color="auto"/>
            </w:tcBorders>
            <w:shd w:val="clear" w:color="auto" w:fill="ABBB59"/>
            <w:vAlign w:val="center"/>
          </w:tcPr>
          <w:p w14:paraId="222BC813" w14:textId="77777777" w:rsidR="0082192F" w:rsidRPr="00D1738C" w:rsidRDefault="0082192F" w:rsidP="00065D8C">
            <w:pPr>
              <w:keepLines/>
              <w:widowControl w:val="0"/>
              <w:spacing w:before="60" w:after="60" w:line="240" w:lineRule="auto"/>
              <w:rPr>
                <w:rFonts w:cs="Tahoma"/>
                <w:b/>
                <w:szCs w:val="20"/>
              </w:rPr>
            </w:pPr>
            <w:r w:rsidRPr="00D1738C">
              <w:rPr>
                <w:rFonts w:cs="Tahoma"/>
                <w:b/>
                <w:color w:val="FFFFFF" w:themeColor="background1"/>
                <w:szCs w:val="20"/>
              </w:rPr>
              <w:lastRenderedPageBreak/>
              <w:t>Název služby</w:t>
            </w:r>
          </w:p>
        </w:tc>
        <w:tc>
          <w:tcPr>
            <w:tcW w:w="2399" w:type="pct"/>
            <w:tcBorders>
              <w:top w:val="double" w:sz="4" w:space="0" w:color="auto"/>
              <w:left w:val="double" w:sz="4" w:space="0" w:color="auto"/>
              <w:bottom w:val="double" w:sz="4" w:space="0" w:color="auto"/>
              <w:right w:val="double" w:sz="4" w:space="0" w:color="auto"/>
            </w:tcBorders>
            <w:shd w:val="clear" w:color="auto" w:fill="auto"/>
            <w:vAlign w:val="center"/>
          </w:tcPr>
          <w:p w14:paraId="04A737AE" w14:textId="64827C78" w:rsidR="0082192F" w:rsidRPr="0082192F" w:rsidRDefault="0082192F" w:rsidP="00065D8C">
            <w:pPr>
              <w:keepLines/>
              <w:widowControl w:val="0"/>
              <w:spacing w:before="60" w:after="60" w:line="288" w:lineRule="auto"/>
              <w:contextualSpacing/>
              <w:rPr>
                <w:rFonts w:cs="Tahoma"/>
                <w:b/>
                <w:bCs/>
                <w:szCs w:val="20"/>
              </w:rPr>
            </w:pPr>
            <w:r w:rsidRPr="0082192F">
              <w:rPr>
                <w:rFonts w:cstheme="minorHAnsi"/>
                <w:b/>
                <w:bCs/>
              </w:rPr>
              <w:t>Uživatelská podpora</w:t>
            </w:r>
          </w:p>
        </w:tc>
        <w:tc>
          <w:tcPr>
            <w:tcW w:w="599" w:type="pct"/>
            <w:tcBorders>
              <w:top w:val="double" w:sz="4" w:space="0" w:color="auto"/>
              <w:left w:val="double" w:sz="4" w:space="0" w:color="auto"/>
              <w:bottom w:val="double" w:sz="4" w:space="0" w:color="auto"/>
              <w:right w:val="double" w:sz="4" w:space="0" w:color="auto"/>
            </w:tcBorders>
            <w:shd w:val="clear" w:color="auto" w:fill="ABBB59"/>
            <w:vAlign w:val="center"/>
          </w:tcPr>
          <w:p w14:paraId="1E0FB939" w14:textId="77777777" w:rsidR="0082192F" w:rsidRPr="00D1738C" w:rsidRDefault="0082192F" w:rsidP="00065D8C">
            <w:pPr>
              <w:pStyle w:val="Zkladntext"/>
              <w:keepLines/>
              <w:widowControl w:val="0"/>
              <w:spacing w:before="60" w:after="60" w:line="240" w:lineRule="auto"/>
              <w:rPr>
                <w:rFonts w:cs="Tahoma"/>
                <w:b/>
                <w:szCs w:val="20"/>
              </w:rPr>
            </w:pPr>
            <w:r w:rsidRPr="00D1738C">
              <w:rPr>
                <w:rFonts w:cs="Tahoma"/>
                <w:b/>
                <w:color w:val="FFFFFF" w:themeColor="background1"/>
                <w:szCs w:val="20"/>
              </w:rPr>
              <w:t>TYP KL:</w:t>
            </w:r>
          </w:p>
        </w:tc>
        <w:tc>
          <w:tcPr>
            <w:tcW w:w="863" w:type="pct"/>
            <w:tcBorders>
              <w:top w:val="double" w:sz="4" w:space="0" w:color="auto"/>
              <w:left w:val="double" w:sz="4" w:space="0" w:color="auto"/>
              <w:bottom w:val="double" w:sz="4" w:space="0" w:color="auto"/>
              <w:right w:val="double" w:sz="4" w:space="0" w:color="auto"/>
            </w:tcBorders>
            <w:shd w:val="clear" w:color="auto" w:fill="auto"/>
            <w:vAlign w:val="center"/>
          </w:tcPr>
          <w:p w14:paraId="5C417D39" w14:textId="75A0B4BB" w:rsidR="0082192F" w:rsidRPr="00D1738C" w:rsidRDefault="00130B03" w:rsidP="00065D8C">
            <w:pPr>
              <w:pStyle w:val="Zkladntext"/>
              <w:keepLines/>
              <w:widowControl w:val="0"/>
              <w:spacing w:before="60" w:after="60" w:line="240" w:lineRule="auto"/>
              <w:jc w:val="right"/>
              <w:rPr>
                <w:rFonts w:cs="Tahoma"/>
                <w:b/>
                <w:szCs w:val="20"/>
              </w:rPr>
            </w:pPr>
            <w:r>
              <w:rPr>
                <w:rFonts w:cs="Tahoma"/>
                <w:b/>
                <w:szCs w:val="20"/>
              </w:rPr>
              <w:t xml:space="preserve">ITSM – 004 </w:t>
            </w:r>
            <w:r w:rsidR="0082192F" w:rsidRPr="00D1738C">
              <w:rPr>
                <w:rFonts w:cs="Tahoma"/>
                <w:b/>
                <w:szCs w:val="20"/>
              </w:rPr>
              <w:t>Paušální</w:t>
            </w:r>
          </w:p>
        </w:tc>
      </w:tr>
      <w:tr w:rsidR="0082192F" w:rsidRPr="00D1738C" w14:paraId="24ABFC84" w14:textId="77777777" w:rsidTr="00065D8C">
        <w:trPr>
          <w:trHeight w:val="237"/>
        </w:trPr>
        <w:tc>
          <w:tcPr>
            <w:tcW w:w="1139" w:type="pct"/>
            <w:tcBorders>
              <w:top w:val="single" w:sz="6" w:space="0" w:color="auto"/>
              <w:left w:val="double" w:sz="4" w:space="0" w:color="auto"/>
              <w:bottom w:val="single" w:sz="6" w:space="0" w:color="auto"/>
              <w:right w:val="single" w:sz="6" w:space="0" w:color="auto"/>
            </w:tcBorders>
            <w:vAlign w:val="center"/>
          </w:tcPr>
          <w:p w14:paraId="2B2E1D20" w14:textId="77777777" w:rsidR="0082192F" w:rsidRPr="00D1738C" w:rsidRDefault="0082192F" w:rsidP="00065D8C">
            <w:pPr>
              <w:pStyle w:val="Zkladntext"/>
              <w:keepLines/>
              <w:widowControl w:val="0"/>
              <w:spacing w:before="60" w:after="60" w:line="240" w:lineRule="auto"/>
              <w:rPr>
                <w:rFonts w:cs="Tahoma"/>
                <w:b/>
                <w:szCs w:val="20"/>
              </w:rPr>
            </w:pPr>
            <w:r w:rsidRPr="00D1738C">
              <w:rPr>
                <w:rFonts w:cs="Tahoma"/>
                <w:b/>
                <w:szCs w:val="20"/>
              </w:rPr>
              <w:t>Zkrácený popis služby</w:t>
            </w:r>
          </w:p>
        </w:tc>
        <w:tc>
          <w:tcPr>
            <w:tcW w:w="3861" w:type="pct"/>
            <w:gridSpan w:val="3"/>
            <w:tcBorders>
              <w:top w:val="single" w:sz="6" w:space="0" w:color="auto"/>
              <w:left w:val="single" w:sz="6" w:space="0" w:color="auto"/>
              <w:bottom w:val="single" w:sz="6" w:space="0" w:color="auto"/>
              <w:right w:val="double" w:sz="4" w:space="0" w:color="auto"/>
            </w:tcBorders>
            <w:vAlign w:val="center"/>
          </w:tcPr>
          <w:p w14:paraId="23202EB1" w14:textId="0F607830" w:rsidR="0082192F" w:rsidRPr="00D1738C" w:rsidRDefault="0082192F" w:rsidP="00065D8C">
            <w:pPr>
              <w:keepLines/>
              <w:widowControl w:val="0"/>
              <w:spacing w:before="60" w:after="60" w:line="288" w:lineRule="auto"/>
              <w:contextualSpacing/>
              <w:rPr>
                <w:rFonts w:cs="Tahoma"/>
                <w:b/>
                <w:szCs w:val="20"/>
              </w:rPr>
            </w:pPr>
            <w:r w:rsidRPr="002A1C51">
              <w:rPr>
                <w:rFonts w:cstheme="minorHAnsi"/>
              </w:rPr>
              <w:t>Uživatelská podpora</w:t>
            </w:r>
          </w:p>
        </w:tc>
      </w:tr>
      <w:tr w:rsidR="0082192F" w:rsidRPr="0066390A" w14:paraId="14150C89" w14:textId="77777777" w:rsidTr="00065D8C">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750320FA" w14:textId="77777777" w:rsidR="0082192F" w:rsidRPr="00D1738C" w:rsidRDefault="0082192F" w:rsidP="00065D8C">
            <w:pPr>
              <w:keepLines/>
              <w:widowControl w:val="0"/>
              <w:spacing w:before="60" w:after="60" w:line="240" w:lineRule="auto"/>
              <w:rPr>
                <w:rFonts w:cs="Tahoma"/>
                <w:szCs w:val="20"/>
              </w:rPr>
            </w:pPr>
            <w:r w:rsidRPr="00D1738C">
              <w:rPr>
                <w:rFonts w:cs="Tahoma"/>
                <w:b/>
                <w:color w:val="FFFFFF" w:themeColor="background1"/>
                <w:szCs w:val="20"/>
              </w:rPr>
              <w:t>DEFINICE SLUŽBY A POŽADOVANÝCH ČINNOSTÍ</w:t>
            </w:r>
          </w:p>
        </w:tc>
      </w:tr>
      <w:tr w:rsidR="0082192F" w:rsidRPr="0066390A" w14:paraId="6C56C774" w14:textId="77777777" w:rsidTr="00065D8C">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656691BD" w14:textId="77777777" w:rsidR="0082192F" w:rsidRPr="002A1C51" w:rsidRDefault="0082192F" w:rsidP="0082192F">
            <w:pPr>
              <w:rPr>
                <w:rFonts w:cstheme="minorHAnsi"/>
                <w:b/>
                <w:bCs/>
              </w:rPr>
            </w:pPr>
            <w:r w:rsidRPr="002A1C51">
              <w:rPr>
                <w:rFonts w:cstheme="minorHAnsi"/>
                <w:b/>
                <w:bCs/>
              </w:rPr>
              <w:t>Popis služby</w:t>
            </w:r>
          </w:p>
          <w:p w14:paraId="2AF1F466" w14:textId="77777777" w:rsidR="0082192F" w:rsidRPr="002A1C51" w:rsidRDefault="0082192F" w:rsidP="0082192F">
            <w:pPr>
              <w:rPr>
                <w:rFonts w:cstheme="minorHAnsi"/>
              </w:rPr>
            </w:pPr>
            <w:r w:rsidRPr="002A1C51">
              <w:rPr>
                <w:rFonts w:cstheme="minorHAnsi"/>
              </w:rPr>
              <w:t>Zajištění uživatelské podpory zahrnující:</w:t>
            </w:r>
          </w:p>
          <w:p w14:paraId="1F39C6BF" w14:textId="77777777" w:rsidR="0082192F" w:rsidRPr="002A1C51" w:rsidRDefault="0082192F" w:rsidP="0082192F">
            <w:pPr>
              <w:pStyle w:val="Odstavecseseznamem"/>
              <w:numPr>
                <w:ilvl w:val="0"/>
                <w:numId w:val="11"/>
              </w:numPr>
              <w:spacing w:after="80" w:line="276" w:lineRule="auto"/>
              <w:jc w:val="both"/>
              <w:rPr>
                <w:rFonts w:cstheme="minorHAnsi"/>
              </w:rPr>
            </w:pPr>
            <w:r w:rsidRPr="002A1C51">
              <w:rPr>
                <w:rFonts w:cstheme="minorHAnsi"/>
              </w:rPr>
              <w:t>Zodpovídání uživatelských dotazů týkajících se ovládání a funkčnosti řešení. Uživatelské dotazy budou zodpovídány na základě informací obsažených v uživatelských příručkách a interní znalostní bázi.</w:t>
            </w:r>
          </w:p>
          <w:p w14:paraId="068A5120" w14:textId="77777777" w:rsidR="0082192F" w:rsidRPr="002A1C51" w:rsidRDefault="0082192F" w:rsidP="0082192F">
            <w:pPr>
              <w:pStyle w:val="Odstavecseseznamem"/>
              <w:numPr>
                <w:ilvl w:val="0"/>
                <w:numId w:val="10"/>
              </w:numPr>
              <w:spacing w:after="80" w:line="276" w:lineRule="auto"/>
              <w:jc w:val="both"/>
              <w:rPr>
                <w:rFonts w:cstheme="minorHAnsi"/>
              </w:rPr>
            </w:pPr>
            <w:r w:rsidRPr="002A1C51">
              <w:rPr>
                <w:rFonts w:cstheme="minorHAnsi"/>
              </w:rPr>
              <w:t>V případě, že bude dotaz vyřešen ihned telefonicky při jeho přijetí, musí Dodavatel takovýto dotaz v zjednodušené podobě zaznamenat do ServiceDesku. Bude-li to možné, bude Dodavatel odpovídat uživatelům výhradně prostřednictvím ServiceDesku.</w:t>
            </w:r>
          </w:p>
          <w:p w14:paraId="0356F3E6" w14:textId="77777777" w:rsidR="0082192F" w:rsidRPr="002A1C51" w:rsidRDefault="0082192F" w:rsidP="0082192F">
            <w:pPr>
              <w:pStyle w:val="Odstavecseseznamem"/>
              <w:numPr>
                <w:ilvl w:val="0"/>
                <w:numId w:val="11"/>
              </w:numPr>
              <w:spacing w:after="80" w:line="276" w:lineRule="auto"/>
              <w:jc w:val="both"/>
              <w:rPr>
                <w:rFonts w:cstheme="minorHAnsi"/>
              </w:rPr>
            </w:pPr>
            <w:r w:rsidRPr="002A1C51">
              <w:rPr>
                <w:rFonts w:cstheme="minorHAnsi"/>
              </w:rPr>
              <w:t xml:space="preserve">Doplňování interní znalostní báze. Interní znalostní bázi doplní Dodavatel o standardizovanou odpověď vždy, kdy je uživatelem vznesen dotaz, pro který není odpověď odvoditelná z uživatelských příruček nebo informací v interní znalostní bázi. </w:t>
            </w:r>
          </w:p>
          <w:p w14:paraId="39D765AB" w14:textId="77777777" w:rsidR="0082192F" w:rsidRPr="002A1C51" w:rsidRDefault="0082192F" w:rsidP="0082192F">
            <w:pPr>
              <w:pStyle w:val="Odstavecseseznamem"/>
              <w:numPr>
                <w:ilvl w:val="0"/>
                <w:numId w:val="11"/>
              </w:numPr>
              <w:spacing w:after="80" w:line="276" w:lineRule="auto"/>
              <w:jc w:val="both"/>
              <w:rPr>
                <w:rFonts w:cstheme="minorHAnsi"/>
              </w:rPr>
            </w:pPr>
            <w:r w:rsidRPr="002A1C51">
              <w:rPr>
                <w:rFonts w:cstheme="minorHAnsi"/>
              </w:rPr>
              <w:t>Publikování FAQ. Dodavatel na měsíční bázi uveřejní v uživatelské sekci odpovědi na 20 nejčastěji kladených otázek.</w:t>
            </w:r>
          </w:p>
          <w:p w14:paraId="176423EB" w14:textId="77777777" w:rsidR="0082192F" w:rsidRPr="002A1C51" w:rsidRDefault="0082192F" w:rsidP="0082192F">
            <w:pPr>
              <w:rPr>
                <w:rFonts w:cstheme="minorHAnsi"/>
                <w:b/>
                <w:bCs/>
              </w:rPr>
            </w:pPr>
            <w:r w:rsidRPr="002A1C51">
              <w:rPr>
                <w:rFonts w:cstheme="minorHAnsi"/>
                <w:b/>
                <w:bCs/>
              </w:rPr>
              <w:t>Položka služby</w:t>
            </w:r>
          </w:p>
          <w:p w14:paraId="77C2BD31" w14:textId="77777777" w:rsidR="0082192F" w:rsidRPr="002A1C51" w:rsidRDefault="0082192F" w:rsidP="0082192F">
            <w:pPr>
              <w:rPr>
                <w:rFonts w:cstheme="minorHAnsi"/>
              </w:rPr>
            </w:pPr>
            <w:r w:rsidRPr="002A1C51">
              <w:rPr>
                <w:rFonts w:cstheme="minorHAnsi"/>
              </w:rPr>
              <w:t>Počet vyhrazených pracovníků pro zajišťování služby dostupných současně koncovým uživatelům služeb.</w:t>
            </w:r>
          </w:p>
          <w:p w14:paraId="476ECF6B" w14:textId="77777777" w:rsidR="0082192F" w:rsidRPr="002A1C51" w:rsidRDefault="0082192F" w:rsidP="0082192F">
            <w:pPr>
              <w:rPr>
                <w:rFonts w:cstheme="minorHAnsi"/>
                <w:b/>
              </w:rPr>
            </w:pPr>
            <w:r w:rsidRPr="002A1C51">
              <w:rPr>
                <w:rFonts w:cstheme="minorHAnsi"/>
                <w:b/>
              </w:rPr>
              <w:t>Metriky služby (SLA)</w:t>
            </w:r>
          </w:p>
          <w:p w14:paraId="011826B9" w14:textId="77777777" w:rsidR="0082192F" w:rsidRPr="002A1C51" w:rsidRDefault="0082192F" w:rsidP="0082192F">
            <w:pPr>
              <w:rPr>
                <w:rFonts w:cstheme="minorHAnsi"/>
              </w:rPr>
            </w:pPr>
            <w:r w:rsidRPr="002A1C51">
              <w:rPr>
                <w:rFonts w:cstheme="minorHAnsi"/>
                <w:bCs/>
              </w:rPr>
              <w:t xml:space="preserve">Lhůta pro </w:t>
            </w:r>
            <w:r w:rsidRPr="002A1C51">
              <w:rPr>
                <w:rFonts w:cstheme="minorHAnsi"/>
              </w:rPr>
              <w:t xml:space="preserve">odpověď na dotaz uživatele – 2 hod </w:t>
            </w:r>
          </w:p>
          <w:p w14:paraId="16923B6F" w14:textId="77777777" w:rsidR="0082192F" w:rsidRPr="002A1C51" w:rsidRDefault="0082192F" w:rsidP="0082192F">
            <w:pPr>
              <w:rPr>
                <w:rFonts w:cstheme="minorHAnsi"/>
              </w:rPr>
            </w:pPr>
            <w:r w:rsidRPr="002A1C51">
              <w:rPr>
                <w:rFonts w:cstheme="minorHAnsi"/>
              </w:rPr>
              <w:t>Aktualizace FAQ – 1x měsíčně</w:t>
            </w:r>
          </w:p>
          <w:p w14:paraId="4670B183" w14:textId="17710201" w:rsidR="0082192F" w:rsidRPr="0066390A" w:rsidRDefault="0082192F" w:rsidP="00065D8C">
            <w:pPr>
              <w:spacing w:after="120"/>
              <w:contextualSpacing/>
              <w:jc w:val="both"/>
              <w:rPr>
                <w:rFonts w:ascii="Calibri" w:eastAsia="Calibri" w:hAnsi="Calibri" w:cs="Calibri"/>
                <w:sz w:val="20"/>
                <w:szCs w:val="20"/>
              </w:rPr>
            </w:pPr>
          </w:p>
        </w:tc>
      </w:tr>
      <w:tr w:rsidR="0082192F" w:rsidRPr="0066390A" w14:paraId="0E6FC0BE" w14:textId="77777777" w:rsidTr="00065D8C">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582E9750" w14:textId="77777777" w:rsidR="0082192F" w:rsidRPr="00001603" w:rsidRDefault="0082192F" w:rsidP="00065D8C">
            <w:pPr>
              <w:keepLines/>
              <w:widowControl w:val="0"/>
              <w:spacing w:before="60" w:after="60" w:line="240" w:lineRule="auto"/>
              <w:rPr>
                <w:rFonts w:cs="Tahoma"/>
                <w:lang w:val="x-none" w:eastAsia="x-none"/>
              </w:rPr>
            </w:pPr>
            <w:r w:rsidRPr="0C0C159F">
              <w:rPr>
                <w:rFonts w:ascii="Segoe UI" w:eastAsia="Segoe UI" w:hAnsi="Segoe UI" w:cs="Segoe UI"/>
                <w:b/>
                <w:bCs/>
                <w:sz w:val="18"/>
                <w:szCs w:val="18"/>
              </w:rPr>
              <w:t xml:space="preserve"> Požadovaná úroveň služeb</w:t>
            </w:r>
          </w:p>
        </w:tc>
      </w:tr>
      <w:tr w:rsidR="0082192F" w:rsidRPr="0066390A" w14:paraId="0840A481" w14:textId="77777777" w:rsidTr="00065D8C">
        <w:trPr>
          <w:trHeight w:val="866"/>
        </w:trPr>
        <w:tc>
          <w:tcPr>
            <w:tcW w:w="5000" w:type="pct"/>
            <w:gridSpan w:val="4"/>
            <w:tcBorders>
              <w:top w:val="single" w:sz="6" w:space="0" w:color="auto"/>
              <w:left w:val="double" w:sz="4" w:space="0" w:color="auto"/>
              <w:bottom w:val="single" w:sz="6" w:space="0" w:color="auto"/>
              <w:right w:val="double" w:sz="4" w:space="0" w:color="auto"/>
            </w:tcBorders>
            <w:shd w:val="clear" w:color="auto" w:fill="auto"/>
          </w:tcPr>
          <w:p w14:paraId="0BA30698" w14:textId="6214567A" w:rsidR="0082192F" w:rsidRPr="0082192F" w:rsidRDefault="0082192F" w:rsidP="0082192F">
            <w:pPr>
              <w:spacing w:before="240" w:after="240"/>
              <w:rPr>
                <w:rFonts w:ascii="Segoe UI" w:eastAsia="Segoe UI" w:hAnsi="Segoe UI" w:cs="Segoe UI"/>
                <w:sz w:val="18"/>
                <w:szCs w:val="18"/>
              </w:rPr>
            </w:pPr>
            <w:r w:rsidRPr="0C0C159F">
              <w:rPr>
                <w:rFonts w:cs="Tahoma"/>
                <w:lang w:val="x-none" w:eastAsia="x-none"/>
              </w:rPr>
              <w:fldChar w:fldCharType="begin"/>
            </w:r>
            <w:r w:rsidRPr="0C0C159F">
              <w:rPr>
                <w:rFonts w:cs="Tahoma"/>
                <w:lang w:val="x-none" w:eastAsia="x-none"/>
              </w:rPr>
              <w:instrText xml:space="preserve"> REF _Ref534644047 \r \h  \* MERGEFORMAT </w:instrText>
            </w:r>
            <w:r w:rsidRPr="0C0C159F">
              <w:rPr>
                <w:rFonts w:cs="Tahoma"/>
                <w:lang w:val="x-none" w:eastAsia="x-none"/>
              </w:rPr>
            </w:r>
            <w:r w:rsidR="00000000">
              <w:rPr>
                <w:rFonts w:cs="Tahoma"/>
                <w:lang w:val="x-none" w:eastAsia="x-none"/>
              </w:rPr>
              <w:fldChar w:fldCharType="separate"/>
            </w:r>
            <w:r w:rsidRPr="0C0C159F">
              <w:rPr>
                <w:rFonts w:cs="Tahoma"/>
                <w:lang w:val="x-none" w:eastAsia="x-none"/>
              </w:rPr>
              <w:fldChar w:fldCharType="end"/>
            </w:r>
            <w:r w:rsidRPr="0C0C159F">
              <w:rPr>
                <w:rFonts w:cs="Tahoma"/>
                <w:lang w:val="x-none" w:eastAsia="x-none"/>
              </w:rPr>
              <w:fldChar w:fldCharType="begin"/>
            </w:r>
            <w:r w:rsidRPr="0C0C159F">
              <w:rPr>
                <w:rFonts w:cs="Tahoma"/>
                <w:lang w:val="x-none" w:eastAsia="x-none"/>
              </w:rPr>
              <w:instrText xml:space="preserve"> REF _Ref533865983 \r \h  \* MERGEFORMAT </w:instrText>
            </w:r>
            <w:r w:rsidRPr="0C0C159F">
              <w:rPr>
                <w:rFonts w:cs="Tahoma"/>
                <w:lang w:val="x-none" w:eastAsia="x-none"/>
              </w:rPr>
            </w:r>
            <w:r w:rsidR="00000000">
              <w:rPr>
                <w:rFonts w:cs="Tahoma"/>
                <w:lang w:val="x-none" w:eastAsia="x-none"/>
              </w:rPr>
              <w:fldChar w:fldCharType="separate"/>
            </w:r>
            <w:r w:rsidRPr="0C0C159F">
              <w:rPr>
                <w:rFonts w:cs="Tahoma"/>
                <w:lang w:val="x-none" w:eastAsia="x-none"/>
              </w:rPr>
              <w:fldChar w:fldCharType="end"/>
            </w:r>
            <w:r w:rsidRPr="0C0C159F">
              <w:rPr>
                <w:rFonts w:ascii="Segoe UI" w:eastAsia="Segoe UI" w:hAnsi="Segoe UI" w:cs="Segoe UI"/>
                <w:sz w:val="18"/>
                <w:szCs w:val="18"/>
              </w:rPr>
              <w:t xml:space="preserve"> Produkční prostředí: </w:t>
            </w:r>
            <w:r w:rsidR="005E52C8">
              <w:rPr>
                <w:rFonts w:ascii="Segoe UI" w:eastAsia="Segoe UI" w:hAnsi="Segoe UI" w:cs="Segoe UI"/>
                <w:sz w:val="18"/>
                <w:szCs w:val="18"/>
              </w:rPr>
              <w:t>BRONZ</w:t>
            </w:r>
          </w:p>
        </w:tc>
      </w:tr>
      <w:bookmarkEnd w:id="0"/>
    </w:tbl>
    <w:p w14:paraId="0B2EEC4C" w14:textId="77777777" w:rsidR="0082192F" w:rsidRDefault="0082192F"/>
    <w:p w14:paraId="77765DBD" w14:textId="01767C99" w:rsidR="005E52C8" w:rsidRDefault="005E52C8">
      <w:r w:rsidRPr="005E52C8">
        <w:rPr>
          <w:b/>
          <w:bCs/>
          <w:u w:val="single"/>
        </w:rPr>
        <w:t>Parametry úrovně požadovaných služeb</w:t>
      </w:r>
      <w:r>
        <w:t>:</w:t>
      </w:r>
    </w:p>
    <w:p w14:paraId="617A6CA7" w14:textId="16DC563F" w:rsidR="005E52C8" w:rsidRDefault="005E52C8">
      <w:r>
        <w:t>BRONZ: 5 x 10</w:t>
      </w:r>
    </w:p>
    <w:p w14:paraId="65A10DB3" w14:textId="252CB6B1" w:rsidR="00047B95" w:rsidRDefault="00047B95">
      <w:r>
        <w:t>TEST: 5 x 8</w:t>
      </w:r>
    </w:p>
    <w:p w14:paraId="45F2D32D" w14:textId="0F9C48A2" w:rsidR="00E93324" w:rsidRDefault="00E93324">
      <w:r>
        <w:br w:type="page"/>
      </w:r>
    </w:p>
    <w:p w14:paraId="4DA0B7C9" w14:textId="77777777" w:rsidR="00E93324" w:rsidRDefault="00E93324" w:rsidP="00E93324">
      <w:r>
        <w:lastRenderedPageBreak/>
        <w:t>HR-001</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4490"/>
        <w:gridCol w:w="1121"/>
        <w:gridCol w:w="1615"/>
      </w:tblGrid>
      <w:tr w:rsidR="00E93324" w:rsidRPr="00D1738C" w14:paraId="199BFFE6" w14:textId="77777777" w:rsidTr="002D6870">
        <w:trPr>
          <w:trHeight w:val="244"/>
        </w:trPr>
        <w:tc>
          <w:tcPr>
            <w:tcW w:w="1139" w:type="pct"/>
            <w:tcBorders>
              <w:top w:val="double" w:sz="4" w:space="0" w:color="auto"/>
              <w:left w:val="double" w:sz="4" w:space="0" w:color="auto"/>
              <w:bottom w:val="double" w:sz="4" w:space="0" w:color="auto"/>
              <w:right w:val="double" w:sz="4" w:space="0" w:color="auto"/>
            </w:tcBorders>
            <w:shd w:val="clear" w:color="auto" w:fill="ABBB59"/>
            <w:vAlign w:val="center"/>
          </w:tcPr>
          <w:p w14:paraId="29B7712A" w14:textId="77777777" w:rsidR="00E93324" w:rsidRPr="00D1738C" w:rsidRDefault="00E93324" w:rsidP="002D6870">
            <w:pPr>
              <w:keepLines/>
              <w:widowControl w:val="0"/>
              <w:spacing w:before="60" w:after="60" w:line="240" w:lineRule="auto"/>
              <w:rPr>
                <w:rFonts w:cs="Tahoma"/>
                <w:b/>
                <w:szCs w:val="20"/>
              </w:rPr>
            </w:pPr>
            <w:r w:rsidRPr="00D1738C">
              <w:rPr>
                <w:rFonts w:cs="Tahoma"/>
                <w:b/>
                <w:color w:val="FFFFFF" w:themeColor="background1"/>
                <w:szCs w:val="20"/>
              </w:rPr>
              <w:t>Název služby</w:t>
            </w:r>
          </w:p>
        </w:tc>
        <w:tc>
          <w:tcPr>
            <w:tcW w:w="2399" w:type="pct"/>
            <w:tcBorders>
              <w:top w:val="double" w:sz="4" w:space="0" w:color="auto"/>
              <w:left w:val="double" w:sz="4" w:space="0" w:color="auto"/>
              <w:bottom w:val="double" w:sz="4" w:space="0" w:color="auto"/>
              <w:right w:val="double" w:sz="4" w:space="0" w:color="auto"/>
            </w:tcBorders>
            <w:shd w:val="clear" w:color="auto" w:fill="auto"/>
            <w:vAlign w:val="center"/>
          </w:tcPr>
          <w:p w14:paraId="7D7D153F" w14:textId="77777777" w:rsidR="00E93324" w:rsidRPr="000C311F" w:rsidRDefault="00E93324" w:rsidP="002D6870">
            <w:pPr>
              <w:pStyle w:val="Nadpis2"/>
              <w:rPr>
                <w:rFonts w:asciiTheme="minorHAnsi" w:hAnsiTheme="minorHAnsi" w:cstheme="minorHAnsi"/>
                <w:color w:val="08549A"/>
              </w:rPr>
            </w:pPr>
            <w:proofErr w:type="gramStart"/>
            <w:r>
              <w:rPr>
                <w:rFonts w:cs="Tahoma"/>
                <w:b/>
                <w:szCs w:val="20"/>
              </w:rPr>
              <w:t>ITSM-</w:t>
            </w:r>
            <w:r w:rsidRPr="007701F3">
              <w:rPr>
                <w:rFonts w:cs="Tahoma"/>
                <w:b/>
                <w:szCs w:val="20"/>
              </w:rPr>
              <w:t xml:space="preserve"> </w:t>
            </w:r>
            <w:bookmarkStart w:id="3" w:name="_Toc118833275"/>
            <w:r w:rsidRPr="000C311F">
              <w:rPr>
                <w:rFonts w:asciiTheme="minorHAnsi" w:eastAsiaTheme="minorHAnsi" w:hAnsiTheme="minorHAnsi" w:cstheme="minorHAnsi"/>
                <w:color w:val="auto"/>
                <w:sz w:val="24"/>
                <w:szCs w:val="24"/>
              </w:rPr>
              <w:t>Služby</w:t>
            </w:r>
            <w:proofErr w:type="gramEnd"/>
            <w:r w:rsidRPr="000C311F">
              <w:rPr>
                <w:rFonts w:asciiTheme="minorHAnsi" w:eastAsiaTheme="minorHAnsi" w:hAnsiTheme="minorHAnsi" w:cstheme="minorHAnsi"/>
                <w:color w:val="auto"/>
                <w:sz w:val="24"/>
                <w:szCs w:val="24"/>
              </w:rPr>
              <w:t xml:space="preserve"> s plněním na základě objednaných služeb</w:t>
            </w:r>
            <w:bookmarkEnd w:id="3"/>
          </w:p>
        </w:tc>
        <w:tc>
          <w:tcPr>
            <w:tcW w:w="599" w:type="pct"/>
            <w:tcBorders>
              <w:top w:val="double" w:sz="4" w:space="0" w:color="auto"/>
              <w:left w:val="double" w:sz="4" w:space="0" w:color="auto"/>
              <w:bottom w:val="double" w:sz="4" w:space="0" w:color="auto"/>
              <w:right w:val="double" w:sz="4" w:space="0" w:color="auto"/>
            </w:tcBorders>
            <w:shd w:val="clear" w:color="auto" w:fill="ABBB59"/>
            <w:vAlign w:val="center"/>
          </w:tcPr>
          <w:p w14:paraId="42A50C8B" w14:textId="77777777" w:rsidR="00E93324" w:rsidRPr="00D1738C" w:rsidRDefault="00E93324" w:rsidP="002D6870">
            <w:pPr>
              <w:pStyle w:val="Zkladntext"/>
              <w:keepLines/>
              <w:widowControl w:val="0"/>
              <w:spacing w:before="60" w:after="60" w:line="240" w:lineRule="auto"/>
              <w:rPr>
                <w:rFonts w:cs="Tahoma"/>
                <w:b/>
                <w:szCs w:val="20"/>
              </w:rPr>
            </w:pPr>
            <w:r w:rsidRPr="00D1738C">
              <w:rPr>
                <w:rFonts w:cs="Tahoma"/>
                <w:b/>
                <w:color w:val="FFFFFF" w:themeColor="background1"/>
                <w:szCs w:val="20"/>
              </w:rPr>
              <w:t>TYP KL:</w:t>
            </w:r>
          </w:p>
        </w:tc>
        <w:tc>
          <w:tcPr>
            <w:tcW w:w="863" w:type="pct"/>
            <w:tcBorders>
              <w:top w:val="double" w:sz="4" w:space="0" w:color="auto"/>
              <w:left w:val="double" w:sz="4" w:space="0" w:color="auto"/>
              <w:bottom w:val="double" w:sz="4" w:space="0" w:color="auto"/>
              <w:right w:val="double" w:sz="4" w:space="0" w:color="auto"/>
            </w:tcBorders>
            <w:shd w:val="clear" w:color="auto" w:fill="auto"/>
            <w:vAlign w:val="center"/>
          </w:tcPr>
          <w:p w14:paraId="50DF17AC" w14:textId="77777777" w:rsidR="00E93324" w:rsidRPr="00D1738C" w:rsidRDefault="00E93324" w:rsidP="002D6870">
            <w:pPr>
              <w:pStyle w:val="Zkladntext"/>
              <w:keepLines/>
              <w:widowControl w:val="0"/>
              <w:spacing w:before="60" w:after="60" w:line="240" w:lineRule="auto"/>
              <w:jc w:val="right"/>
              <w:rPr>
                <w:rFonts w:cs="Tahoma"/>
                <w:b/>
                <w:szCs w:val="20"/>
              </w:rPr>
            </w:pPr>
            <w:r>
              <w:rPr>
                <w:rFonts w:cs="Tahoma"/>
                <w:b/>
                <w:szCs w:val="20"/>
              </w:rPr>
              <w:t>Ad-hoc</w:t>
            </w:r>
          </w:p>
        </w:tc>
      </w:tr>
      <w:tr w:rsidR="00E93324" w:rsidRPr="00D1738C" w14:paraId="451C9D22" w14:textId="77777777" w:rsidTr="002D6870">
        <w:trPr>
          <w:trHeight w:val="237"/>
        </w:trPr>
        <w:tc>
          <w:tcPr>
            <w:tcW w:w="1139" w:type="pct"/>
            <w:tcBorders>
              <w:top w:val="single" w:sz="6" w:space="0" w:color="auto"/>
              <w:left w:val="double" w:sz="4" w:space="0" w:color="auto"/>
              <w:bottom w:val="single" w:sz="6" w:space="0" w:color="auto"/>
              <w:right w:val="single" w:sz="6" w:space="0" w:color="auto"/>
            </w:tcBorders>
            <w:vAlign w:val="center"/>
          </w:tcPr>
          <w:p w14:paraId="10B4C8F0" w14:textId="77777777" w:rsidR="00E93324" w:rsidRPr="00D1738C" w:rsidRDefault="00E93324" w:rsidP="002D6870">
            <w:pPr>
              <w:pStyle w:val="Zkladntext"/>
              <w:keepLines/>
              <w:widowControl w:val="0"/>
              <w:spacing w:before="60" w:after="60" w:line="240" w:lineRule="auto"/>
              <w:rPr>
                <w:rFonts w:cs="Tahoma"/>
                <w:b/>
                <w:szCs w:val="20"/>
              </w:rPr>
            </w:pPr>
            <w:r w:rsidRPr="00D1738C">
              <w:rPr>
                <w:rFonts w:cs="Tahoma"/>
                <w:b/>
                <w:szCs w:val="20"/>
              </w:rPr>
              <w:t>Zkrácený popis služby</w:t>
            </w:r>
          </w:p>
        </w:tc>
        <w:tc>
          <w:tcPr>
            <w:tcW w:w="3861" w:type="pct"/>
            <w:gridSpan w:val="3"/>
            <w:tcBorders>
              <w:top w:val="single" w:sz="6" w:space="0" w:color="auto"/>
              <w:left w:val="single" w:sz="6" w:space="0" w:color="auto"/>
              <w:bottom w:val="single" w:sz="6" w:space="0" w:color="auto"/>
              <w:right w:val="double" w:sz="4" w:space="0" w:color="auto"/>
            </w:tcBorders>
            <w:vAlign w:val="center"/>
          </w:tcPr>
          <w:p w14:paraId="028D6360" w14:textId="77777777" w:rsidR="00E93324" w:rsidRPr="00291FC6" w:rsidRDefault="00E93324" w:rsidP="002D6870">
            <w:pPr>
              <w:spacing w:after="80" w:line="276" w:lineRule="auto"/>
              <w:jc w:val="both"/>
              <w:rPr>
                <w:rFonts w:cstheme="minorHAnsi"/>
              </w:rPr>
            </w:pPr>
            <w:r w:rsidRPr="00291FC6">
              <w:rPr>
                <w:rFonts w:cstheme="minorHAnsi"/>
              </w:rPr>
              <w:t>Služby s plněním na základě objednaných služeb</w:t>
            </w:r>
          </w:p>
          <w:p w14:paraId="052A1898" w14:textId="77777777" w:rsidR="00E93324" w:rsidRPr="00291FC6" w:rsidRDefault="00E93324" w:rsidP="00E93324">
            <w:pPr>
              <w:pStyle w:val="Odstavecseseznamem"/>
              <w:numPr>
                <w:ilvl w:val="0"/>
                <w:numId w:val="15"/>
              </w:numPr>
              <w:spacing w:after="80" w:line="276" w:lineRule="auto"/>
              <w:jc w:val="both"/>
              <w:rPr>
                <w:rFonts w:cstheme="minorHAnsi"/>
              </w:rPr>
            </w:pPr>
            <w:r w:rsidRPr="00291FC6">
              <w:rPr>
                <w:rFonts w:cstheme="minorHAnsi"/>
              </w:rPr>
              <w:t>Rozvojové služby</w:t>
            </w:r>
          </w:p>
          <w:p w14:paraId="3AFE33F9" w14:textId="77777777" w:rsidR="00E93324" w:rsidRPr="00291FC6" w:rsidRDefault="00E93324" w:rsidP="00E93324">
            <w:pPr>
              <w:pStyle w:val="Odstavecseseznamem"/>
              <w:numPr>
                <w:ilvl w:val="0"/>
                <w:numId w:val="15"/>
              </w:numPr>
              <w:spacing w:after="80" w:line="276" w:lineRule="auto"/>
              <w:jc w:val="both"/>
              <w:rPr>
                <w:rFonts w:cstheme="minorHAnsi"/>
              </w:rPr>
            </w:pPr>
            <w:r w:rsidRPr="00291FC6">
              <w:rPr>
                <w:rFonts w:cstheme="minorHAnsi"/>
              </w:rPr>
              <w:t>Odborné služby</w:t>
            </w:r>
          </w:p>
        </w:tc>
      </w:tr>
      <w:tr w:rsidR="00E93324" w:rsidRPr="0066390A" w14:paraId="1E2DB7C6" w14:textId="77777777" w:rsidTr="002D6870">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75C4E90E" w14:textId="77777777" w:rsidR="00E93324" w:rsidRPr="00D1738C" w:rsidRDefault="00E93324" w:rsidP="002D6870">
            <w:pPr>
              <w:keepLines/>
              <w:widowControl w:val="0"/>
              <w:spacing w:before="60" w:after="60" w:line="240" w:lineRule="auto"/>
              <w:rPr>
                <w:rFonts w:cs="Tahoma"/>
                <w:szCs w:val="20"/>
              </w:rPr>
            </w:pPr>
            <w:r w:rsidRPr="00D1738C">
              <w:rPr>
                <w:rFonts w:cs="Tahoma"/>
                <w:b/>
                <w:color w:val="FFFFFF" w:themeColor="background1"/>
                <w:szCs w:val="20"/>
              </w:rPr>
              <w:t>DEFINICE SLUŽBY A POŽADOVANÝCH ČINNOSTÍ</w:t>
            </w:r>
          </w:p>
        </w:tc>
      </w:tr>
      <w:tr w:rsidR="00E93324" w:rsidRPr="0066390A" w14:paraId="77F9C234" w14:textId="77777777" w:rsidTr="002D6870">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5AEFD9CE" w14:textId="77777777" w:rsidR="00E93324" w:rsidRDefault="00E93324" w:rsidP="002D6870">
            <w:pPr>
              <w:rPr>
                <w:rFonts w:cstheme="minorHAnsi"/>
                <w:b/>
                <w:bCs/>
                <w:sz w:val="24"/>
                <w:szCs w:val="24"/>
              </w:rPr>
            </w:pPr>
            <w:r w:rsidRPr="000C311F">
              <w:rPr>
                <w:rFonts w:cstheme="minorHAnsi"/>
                <w:b/>
                <w:bCs/>
                <w:sz w:val="24"/>
                <w:szCs w:val="24"/>
              </w:rPr>
              <w:t xml:space="preserve">Rozvojové </w:t>
            </w:r>
            <w:r>
              <w:rPr>
                <w:rFonts w:cstheme="minorHAnsi"/>
                <w:b/>
                <w:bCs/>
                <w:sz w:val="24"/>
                <w:szCs w:val="24"/>
              </w:rPr>
              <w:t xml:space="preserve">a odborné </w:t>
            </w:r>
            <w:r w:rsidRPr="000C311F">
              <w:rPr>
                <w:rFonts w:cstheme="minorHAnsi"/>
                <w:b/>
                <w:bCs/>
                <w:sz w:val="24"/>
                <w:szCs w:val="24"/>
              </w:rPr>
              <w:t>služby</w:t>
            </w:r>
          </w:p>
          <w:p w14:paraId="3E839A7D" w14:textId="77777777" w:rsidR="00E93324" w:rsidRPr="00C2427F" w:rsidRDefault="00E93324" w:rsidP="002D6870">
            <w:pPr>
              <w:rPr>
                <w:rFonts w:cstheme="minorHAnsi"/>
              </w:rPr>
            </w:pPr>
            <w:r w:rsidRPr="00C2427F">
              <w:rPr>
                <w:rFonts w:cstheme="minorHAnsi"/>
              </w:rPr>
              <w:t xml:space="preserve">Služba umožňuje využívat kapacity Poskytovatele zejména na následující činnosti: </w:t>
            </w:r>
          </w:p>
          <w:p w14:paraId="59CA8167" w14:textId="77777777" w:rsidR="00E93324" w:rsidRDefault="00E93324" w:rsidP="00E93324">
            <w:pPr>
              <w:pStyle w:val="Odstavecseseznamem"/>
              <w:numPr>
                <w:ilvl w:val="0"/>
                <w:numId w:val="14"/>
              </w:numPr>
              <w:rPr>
                <w:rFonts w:cstheme="minorHAnsi"/>
              </w:rPr>
            </w:pPr>
            <w:r w:rsidRPr="00C2427F">
              <w:rPr>
                <w:rFonts w:cstheme="minorHAnsi"/>
              </w:rPr>
              <w:t>Služby analytické, projektové a implementační práce související s parametrizací modulu nebo jeho implementací v organizaci Objednatele nebo jím stanoveného subjektu.</w:t>
            </w:r>
          </w:p>
          <w:p w14:paraId="48D33E02" w14:textId="77777777" w:rsidR="00E93324" w:rsidRPr="00C2427F" w:rsidRDefault="00E93324" w:rsidP="00E93324">
            <w:pPr>
              <w:pStyle w:val="Odstavecseseznamem"/>
              <w:numPr>
                <w:ilvl w:val="0"/>
                <w:numId w:val="14"/>
              </w:numPr>
              <w:rPr>
                <w:rFonts w:cstheme="minorHAnsi"/>
              </w:rPr>
            </w:pPr>
            <w:r w:rsidRPr="002A1C51">
              <w:rPr>
                <w:rFonts w:cstheme="minorHAnsi"/>
              </w:rPr>
              <w:t>Zajištění podpory při parametrizaci modulu nebo jeho implementaci v rámci organizace</w:t>
            </w:r>
          </w:p>
          <w:p w14:paraId="6AFEBAA6" w14:textId="77777777" w:rsidR="00E93324" w:rsidRPr="00C2427F" w:rsidRDefault="00E93324" w:rsidP="00E93324">
            <w:pPr>
              <w:pStyle w:val="Odstavecseseznamem"/>
              <w:numPr>
                <w:ilvl w:val="0"/>
                <w:numId w:val="14"/>
              </w:numPr>
              <w:rPr>
                <w:rFonts w:cstheme="minorHAnsi"/>
              </w:rPr>
            </w:pPr>
            <w:r w:rsidRPr="00C2427F">
              <w:rPr>
                <w:rFonts w:cstheme="minorHAnsi"/>
              </w:rPr>
              <w:t xml:space="preserve">Aktualizaci dokumentace nad rámec paušálních služeb </w:t>
            </w:r>
          </w:p>
          <w:p w14:paraId="494B7009" w14:textId="77777777" w:rsidR="00E93324" w:rsidRPr="00C2427F" w:rsidRDefault="00E93324" w:rsidP="00E93324">
            <w:pPr>
              <w:pStyle w:val="Odstavecseseznamem"/>
              <w:numPr>
                <w:ilvl w:val="0"/>
                <w:numId w:val="14"/>
              </w:numPr>
              <w:rPr>
                <w:rFonts w:cstheme="minorHAnsi"/>
              </w:rPr>
            </w:pPr>
            <w:r w:rsidRPr="00C2427F">
              <w:rPr>
                <w:rFonts w:cstheme="minorHAnsi"/>
              </w:rPr>
              <w:t xml:space="preserve">Konzultační služby v rámci přípravy změnového požadavku </w:t>
            </w:r>
          </w:p>
          <w:p w14:paraId="6E15DB50" w14:textId="77777777" w:rsidR="00E93324" w:rsidRPr="002A1C51" w:rsidRDefault="00E93324" w:rsidP="002D6870">
            <w:pPr>
              <w:rPr>
                <w:rFonts w:cstheme="minorHAnsi"/>
              </w:rPr>
            </w:pPr>
            <w:r w:rsidRPr="002A1C51">
              <w:rPr>
                <w:rFonts w:cstheme="minorHAnsi"/>
              </w:rPr>
              <w:t>Rozvoj řešení realizován ve 3 krocích:</w:t>
            </w:r>
          </w:p>
          <w:p w14:paraId="578B884B" w14:textId="77777777" w:rsidR="00E93324" w:rsidRPr="002A1C51" w:rsidRDefault="00E93324" w:rsidP="00E93324">
            <w:pPr>
              <w:pStyle w:val="Odstavecseseznamem"/>
              <w:numPr>
                <w:ilvl w:val="0"/>
                <w:numId w:val="12"/>
              </w:numPr>
              <w:spacing w:after="80" w:line="276" w:lineRule="auto"/>
              <w:jc w:val="both"/>
              <w:rPr>
                <w:rFonts w:cstheme="minorHAnsi"/>
              </w:rPr>
            </w:pPr>
            <w:r w:rsidRPr="002A1C51">
              <w:rPr>
                <w:rFonts w:cstheme="minorHAnsi"/>
              </w:rPr>
              <w:t>Zpracování zadání – tento krok zahrnuje přijetí požadavku, jeho formální kontrolu, doplnění zadání a odhad pracnosti analýzy zadání.</w:t>
            </w:r>
          </w:p>
          <w:p w14:paraId="1EF88562" w14:textId="77777777" w:rsidR="00E93324" w:rsidRPr="002A1C51" w:rsidRDefault="00E93324" w:rsidP="00E93324">
            <w:pPr>
              <w:pStyle w:val="Odstavecseseznamem"/>
              <w:numPr>
                <w:ilvl w:val="0"/>
                <w:numId w:val="12"/>
              </w:numPr>
              <w:spacing w:after="80" w:line="276" w:lineRule="auto"/>
              <w:jc w:val="both"/>
              <w:rPr>
                <w:rFonts w:cstheme="minorHAnsi"/>
              </w:rPr>
            </w:pPr>
            <w:bookmarkStart w:id="4" w:name="_Hlk132876154"/>
            <w:r w:rsidRPr="002A1C51">
              <w:rPr>
                <w:rFonts w:cstheme="minorHAnsi"/>
              </w:rPr>
              <w:t>Zpracování technické analýzy</w:t>
            </w:r>
            <w:bookmarkEnd w:id="4"/>
            <w:r w:rsidRPr="002A1C51">
              <w:rPr>
                <w:rFonts w:cstheme="minorHAnsi"/>
              </w:rPr>
              <w:t xml:space="preserve"> – tento krok zahrnuje analýzu požadavku, která by umožnila detailně analyzovat dopady do stávajícího řešení a kvalifikovaně odhadnout kapacitní náročnost realizace změnového požadavku a harmonogram realizace požadavku.  </w:t>
            </w:r>
          </w:p>
          <w:p w14:paraId="3F21B5CD" w14:textId="77777777" w:rsidR="00E93324" w:rsidRPr="002A1C51" w:rsidRDefault="00E93324" w:rsidP="00E93324">
            <w:pPr>
              <w:pStyle w:val="Odstavecseseznamem"/>
              <w:numPr>
                <w:ilvl w:val="0"/>
                <w:numId w:val="12"/>
              </w:numPr>
              <w:spacing w:after="80" w:line="276" w:lineRule="auto"/>
              <w:jc w:val="both"/>
              <w:rPr>
                <w:rFonts w:cstheme="minorHAnsi"/>
              </w:rPr>
            </w:pPr>
            <w:r w:rsidRPr="002A1C51">
              <w:rPr>
                <w:rFonts w:cstheme="minorHAnsi"/>
              </w:rPr>
              <w:t>Provedení implementace – v návaznosti na schválení realizace požadavku Objednatelem bude požadavek realizován a po ověření řízeně nasazen do produkčního provozu.</w:t>
            </w:r>
          </w:p>
          <w:p w14:paraId="0B4851F7" w14:textId="77777777" w:rsidR="00E93324" w:rsidRPr="002A1C51" w:rsidRDefault="00E93324" w:rsidP="002D6870">
            <w:pPr>
              <w:rPr>
                <w:rFonts w:cstheme="minorHAnsi"/>
              </w:rPr>
            </w:pPr>
            <w:r w:rsidRPr="002A1C51">
              <w:rPr>
                <w:rFonts w:cstheme="minorHAnsi"/>
              </w:rPr>
              <w:t>Služba bude poskytována po celou dobu smluvního vztahu s Dodavatelem na základě pokynu Objednatele a dle Objednatelem schválené pracnosti. Služba bude hrazena dle odvedeného výkonu potvrzeného Objednatelem.</w:t>
            </w:r>
          </w:p>
          <w:p w14:paraId="707D380F" w14:textId="77777777" w:rsidR="00E93324" w:rsidRPr="002A1C51" w:rsidRDefault="00E93324" w:rsidP="002D6870">
            <w:pPr>
              <w:rPr>
                <w:rFonts w:cstheme="minorHAnsi"/>
                <w:b/>
                <w:bCs/>
              </w:rPr>
            </w:pPr>
            <w:r w:rsidRPr="002A1C51">
              <w:rPr>
                <w:rFonts w:cstheme="minorHAnsi"/>
                <w:b/>
                <w:bCs/>
              </w:rPr>
              <w:t>Položka služby</w:t>
            </w:r>
          </w:p>
          <w:p w14:paraId="0EDC94A8" w14:textId="77777777" w:rsidR="00E93324" w:rsidRPr="002A1C51" w:rsidRDefault="00E93324" w:rsidP="002D6870">
            <w:pPr>
              <w:rPr>
                <w:rFonts w:cstheme="minorHAnsi"/>
              </w:rPr>
            </w:pPr>
            <w:r w:rsidRPr="002A1C51">
              <w:rPr>
                <w:rFonts w:cstheme="minorHAnsi"/>
              </w:rPr>
              <w:t>Člověkohodina odborných rolí podílejících se na plnění služby</w:t>
            </w:r>
          </w:p>
          <w:p w14:paraId="3F3FB897" w14:textId="77777777" w:rsidR="00E93324" w:rsidRPr="002A1C51" w:rsidRDefault="00E93324" w:rsidP="002D6870">
            <w:pPr>
              <w:rPr>
                <w:rFonts w:cstheme="minorHAnsi"/>
                <w:b/>
              </w:rPr>
            </w:pPr>
            <w:r w:rsidRPr="002A1C51">
              <w:rPr>
                <w:rFonts w:cstheme="minorHAnsi"/>
                <w:b/>
              </w:rPr>
              <w:t>Metriky služby (SLA)</w:t>
            </w:r>
          </w:p>
          <w:p w14:paraId="0A993E3E" w14:textId="77777777" w:rsidR="00E93324" w:rsidRPr="002A1C51" w:rsidRDefault="00E93324" w:rsidP="002D6870">
            <w:pPr>
              <w:rPr>
                <w:rFonts w:cstheme="minorHAnsi"/>
              </w:rPr>
            </w:pPr>
            <w:r w:rsidRPr="002A1C51">
              <w:rPr>
                <w:rFonts w:cstheme="minorHAnsi"/>
              </w:rPr>
              <w:t>Lhůta pro zpracování zadání – 3 pracovní dny</w:t>
            </w:r>
          </w:p>
          <w:p w14:paraId="33F58BA5" w14:textId="77777777" w:rsidR="00E93324" w:rsidRPr="002A1C51" w:rsidRDefault="00E93324" w:rsidP="002D6870">
            <w:pPr>
              <w:rPr>
                <w:rFonts w:cstheme="minorHAnsi"/>
              </w:rPr>
            </w:pPr>
            <w:r w:rsidRPr="002A1C51">
              <w:rPr>
                <w:rFonts w:cstheme="minorHAnsi"/>
              </w:rPr>
              <w:t>Lhůta pro zahájení zpracování technické analýzy (od schválení pracnosti analýzy) – 3 pracovní dny</w:t>
            </w:r>
          </w:p>
          <w:p w14:paraId="6DFAF87A" w14:textId="77777777" w:rsidR="00E93324" w:rsidRPr="002A1C51" w:rsidRDefault="00E93324" w:rsidP="002D6870">
            <w:pPr>
              <w:rPr>
                <w:rFonts w:cstheme="minorHAnsi"/>
              </w:rPr>
            </w:pPr>
            <w:r w:rsidRPr="002A1C51">
              <w:rPr>
                <w:rFonts w:cstheme="minorHAnsi"/>
              </w:rPr>
              <w:t>Lhůta pro provedení implementace (od schválení pracnosti a návrhu provedení implementace) – 5 pracovních dnů</w:t>
            </w:r>
          </w:p>
          <w:p w14:paraId="501B61B9" w14:textId="77777777" w:rsidR="00E93324" w:rsidRDefault="00E93324" w:rsidP="002D6870">
            <w:pPr>
              <w:rPr>
                <w:rFonts w:cstheme="minorHAnsi"/>
              </w:rPr>
            </w:pPr>
            <w:r w:rsidRPr="002A1C51">
              <w:rPr>
                <w:rFonts w:cstheme="minorHAnsi"/>
              </w:rPr>
              <w:t>Plnění bude prováděno dle jednotlivých sjednaných parametrů</w:t>
            </w:r>
          </w:p>
          <w:p w14:paraId="4580C45B" w14:textId="77777777" w:rsidR="00E93324" w:rsidRPr="000C311F" w:rsidRDefault="00E93324" w:rsidP="002D6870">
            <w:pPr>
              <w:rPr>
                <w:rFonts w:cstheme="minorHAnsi"/>
              </w:rPr>
            </w:pPr>
            <w:r w:rsidRPr="0065234C">
              <w:rPr>
                <w:szCs w:val="20"/>
              </w:rPr>
              <w:t xml:space="preserve">Dodávka této služby bude prováděna v souladu se zavedenými procesy vycházející z metodiky </w:t>
            </w:r>
            <w:r>
              <w:rPr>
                <w:szCs w:val="20"/>
              </w:rPr>
              <w:t>ITIL a Interní dokumentaci.</w:t>
            </w:r>
          </w:p>
        </w:tc>
      </w:tr>
    </w:tbl>
    <w:p w14:paraId="439C3B5A" w14:textId="77777777" w:rsidR="00E93324" w:rsidRDefault="00E93324" w:rsidP="00E93324">
      <w:r>
        <w:lastRenderedPageBreak/>
        <w:t>HR-002</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4490"/>
        <w:gridCol w:w="1121"/>
        <w:gridCol w:w="1615"/>
      </w:tblGrid>
      <w:tr w:rsidR="00E93324" w:rsidRPr="00D1738C" w14:paraId="08C869C2" w14:textId="77777777" w:rsidTr="002D6870">
        <w:trPr>
          <w:trHeight w:val="244"/>
        </w:trPr>
        <w:tc>
          <w:tcPr>
            <w:tcW w:w="1139" w:type="pct"/>
            <w:tcBorders>
              <w:top w:val="double" w:sz="4" w:space="0" w:color="auto"/>
              <w:left w:val="double" w:sz="4" w:space="0" w:color="auto"/>
              <w:bottom w:val="double" w:sz="4" w:space="0" w:color="auto"/>
              <w:right w:val="double" w:sz="4" w:space="0" w:color="auto"/>
            </w:tcBorders>
            <w:shd w:val="clear" w:color="auto" w:fill="ABBB59"/>
            <w:vAlign w:val="center"/>
          </w:tcPr>
          <w:p w14:paraId="5B9DCC47" w14:textId="77777777" w:rsidR="00E93324" w:rsidRPr="00D1738C" w:rsidRDefault="00E93324" w:rsidP="002D6870">
            <w:pPr>
              <w:keepLines/>
              <w:widowControl w:val="0"/>
              <w:spacing w:before="60" w:after="60" w:line="240" w:lineRule="auto"/>
              <w:rPr>
                <w:rFonts w:cs="Tahoma"/>
                <w:b/>
                <w:szCs w:val="20"/>
              </w:rPr>
            </w:pPr>
            <w:r w:rsidRPr="00D1738C">
              <w:rPr>
                <w:rFonts w:cs="Tahoma"/>
                <w:b/>
                <w:color w:val="FFFFFF" w:themeColor="background1"/>
                <w:szCs w:val="20"/>
              </w:rPr>
              <w:t>Název služby</w:t>
            </w:r>
          </w:p>
        </w:tc>
        <w:tc>
          <w:tcPr>
            <w:tcW w:w="2399" w:type="pct"/>
            <w:tcBorders>
              <w:top w:val="double" w:sz="4" w:space="0" w:color="auto"/>
              <w:left w:val="double" w:sz="4" w:space="0" w:color="auto"/>
              <w:bottom w:val="double" w:sz="4" w:space="0" w:color="auto"/>
              <w:right w:val="double" w:sz="4" w:space="0" w:color="auto"/>
            </w:tcBorders>
            <w:shd w:val="clear" w:color="auto" w:fill="auto"/>
            <w:vAlign w:val="center"/>
          </w:tcPr>
          <w:p w14:paraId="4FB29ECD" w14:textId="77777777" w:rsidR="00E93324" w:rsidRPr="000C311F" w:rsidRDefault="00E93324" w:rsidP="002D6870">
            <w:pPr>
              <w:pStyle w:val="Nadpis2"/>
              <w:rPr>
                <w:rFonts w:asciiTheme="minorHAnsi" w:hAnsiTheme="minorHAnsi" w:cstheme="minorHAnsi"/>
                <w:color w:val="08549A"/>
              </w:rPr>
            </w:pPr>
            <w:proofErr w:type="gramStart"/>
            <w:r>
              <w:rPr>
                <w:rFonts w:cs="Tahoma"/>
                <w:b/>
                <w:szCs w:val="20"/>
              </w:rPr>
              <w:t>ITSM-</w:t>
            </w:r>
            <w:r w:rsidRPr="007701F3">
              <w:rPr>
                <w:rFonts w:cs="Tahoma"/>
                <w:b/>
                <w:szCs w:val="20"/>
              </w:rPr>
              <w:t xml:space="preserve"> </w:t>
            </w:r>
            <w:r w:rsidRPr="000C311F">
              <w:rPr>
                <w:rFonts w:asciiTheme="minorHAnsi" w:eastAsiaTheme="minorHAnsi" w:hAnsiTheme="minorHAnsi" w:cstheme="minorHAnsi"/>
                <w:color w:val="auto"/>
                <w:sz w:val="24"/>
                <w:szCs w:val="24"/>
              </w:rPr>
              <w:t>Služby</w:t>
            </w:r>
            <w:proofErr w:type="gramEnd"/>
            <w:r w:rsidRPr="000C311F">
              <w:rPr>
                <w:rFonts w:asciiTheme="minorHAnsi" w:eastAsiaTheme="minorHAnsi" w:hAnsiTheme="minorHAnsi" w:cstheme="minorHAnsi"/>
                <w:color w:val="auto"/>
                <w:sz w:val="24"/>
                <w:szCs w:val="24"/>
              </w:rPr>
              <w:t xml:space="preserve"> s plněním na základě objednaných služeb</w:t>
            </w:r>
            <w:r>
              <w:rPr>
                <w:rFonts w:asciiTheme="minorHAnsi" w:eastAsiaTheme="minorHAnsi" w:hAnsiTheme="minorHAnsi" w:cstheme="minorHAnsi"/>
                <w:color w:val="auto"/>
                <w:sz w:val="24"/>
                <w:szCs w:val="24"/>
              </w:rPr>
              <w:t xml:space="preserve"> malého rozsahu</w:t>
            </w:r>
          </w:p>
        </w:tc>
        <w:tc>
          <w:tcPr>
            <w:tcW w:w="599" w:type="pct"/>
            <w:tcBorders>
              <w:top w:val="double" w:sz="4" w:space="0" w:color="auto"/>
              <w:left w:val="double" w:sz="4" w:space="0" w:color="auto"/>
              <w:bottom w:val="double" w:sz="4" w:space="0" w:color="auto"/>
              <w:right w:val="double" w:sz="4" w:space="0" w:color="auto"/>
            </w:tcBorders>
            <w:shd w:val="clear" w:color="auto" w:fill="ABBB59"/>
            <w:vAlign w:val="center"/>
          </w:tcPr>
          <w:p w14:paraId="1283049A" w14:textId="77777777" w:rsidR="00E93324" w:rsidRPr="00D1738C" w:rsidRDefault="00E93324" w:rsidP="002D6870">
            <w:pPr>
              <w:pStyle w:val="Zkladntext"/>
              <w:keepLines/>
              <w:widowControl w:val="0"/>
              <w:spacing w:before="60" w:after="60" w:line="240" w:lineRule="auto"/>
              <w:rPr>
                <w:rFonts w:cs="Tahoma"/>
                <w:b/>
                <w:szCs w:val="20"/>
              </w:rPr>
            </w:pPr>
            <w:r w:rsidRPr="00D1738C">
              <w:rPr>
                <w:rFonts w:cs="Tahoma"/>
                <w:b/>
                <w:color w:val="FFFFFF" w:themeColor="background1"/>
                <w:szCs w:val="20"/>
              </w:rPr>
              <w:t>TYP KL:</w:t>
            </w:r>
          </w:p>
        </w:tc>
        <w:tc>
          <w:tcPr>
            <w:tcW w:w="863" w:type="pct"/>
            <w:tcBorders>
              <w:top w:val="double" w:sz="4" w:space="0" w:color="auto"/>
              <w:left w:val="double" w:sz="4" w:space="0" w:color="auto"/>
              <w:bottom w:val="double" w:sz="4" w:space="0" w:color="auto"/>
              <w:right w:val="double" w:sz="4" w:space="0" w:color="auto"/>
            </w:tcBorders>
            <w:shd w:val="clear" w:color="auto" w:fill="auto"/>
            <w:vAlign w:val="center"/>
          </w:tcPr>
          <w:p w14:paraId="47545186" w14:textId="77777777" w:rsidR="00E93324" w:rsidRPr="00D1738C" w:rsidRDefault="00E93324" w:rsidP="002D6870">
            <w:pPr>
              <w:pStyle w:val="Zkladntext"/>
              <w:keepLines/>
              <w:widowControl w:val="0"/>
              <w:spacing w:before="60" w:after="60" w:line="240" w:lineRule="auto"/>
              <w:jc w:val="right"/>
              <w:rPr>
                <w:rFonts w:cs="Tahoma"/>
                <w:b/>
                <w:szCs w:val="20"/>
              </w:rPr>
            </w:pPr>
            <w:r>
              <w:rPr>
                <w:rFonts w:cs="Tahoma"/>
                <w:b/>
                <w:szCs w:val="20"/>
              </w:rPr>
              <w:t>Ad-hoc</w:t>
            </w:r>
          </w:p>
        </w:tc>
      </w:tr>
      <w:tr w:rsidR="00E93324" w:rsidRPr="00D1738C" w14:paraId="26D973BA" w14:textId="77777777" w:rsidTr="002D6870">
        <w:trPr>
          <w:trHeight w:val="237"/>
        </w:trPr>
        <w:tc>
          <w:tcPr>
            <w:tcW w:w="1139" w:type="pct"/>
            <w:tcBorders>
              <w:top w:val="single" w:sz="6" w:space="0" w:color="auto"/>
              <w:left w:val="double" w:sz="4" w:space="0" w:color="auto"/>
              <w:bottom w:val="single" w:sz="6" w:space="0" w:color="auto"/>
              <w:right w:val="single" w:sz="6" w:space="0" w:color="auto"/>
            </w:tcBorders>
            <w:vAlign w:val="center"/>
          </w:tcPr>
          <w:p w14:paraId="0B8DF66B" w14:textId="77777777" w:rsidR="00E93324" w:rsidRPr="00D1738C" w:rsidRDefault="00E93324" w:rsidP="002D6870">
            <w:pPr>
              <w:pStyle w:val="Zkladntext"/>
              <w:keepLines/>
              <w:widowControl w:val="0"/>
              <w:spacing w:before="60" w:after="60" w:line="240" w:lineRule="auto"/>
              <w:rPr>
                <w:rFonts w:cs="Tahoma"/>
                <w:b/>
                <w:szCs w:val="20"/>
              </w:rPr>
            </w:pPr>
            <w:r w:rsidRPr="00D1738C">
              <w:rPr>
                <w:rFonts w:cs="Tahoma"/>
                <w:b/>
                <w:szCs w:val="20"/>
              </w:rPr>
              <w:t>Zkrácený popis služby</w:t>
            </w:r>
          </w:p>
        </w:tc>
        <w:tc>
          <w:tcPr>
            <w:tcW w:w="3861" w:type="pct"/>
            <w:gridSpan w:val="3"/>
            <w:tcBorders>
              <w:top w:val="single" w:sz="6" w:space="0" w:color="auto"/>
              <w:left w:val="single" w:sz="6" w:space="0" w:color="auto"/>
              <w:bottom w:val="single" w:sz="6" w:space="0" w:color="auto"/>
              <w:right w:val="double" w:sz="4" w:space="0" w:color="auto"/>
            </w:tcBorders>
            <w:vAlign w:val="center"/>
          </w:tcPr>
          <w:p w14:paraId="60333086" w14:textId="77777777" w:rsidR="00E93324" w:rsidRPr="005929A1" w:rsidRDefault="00E93324" w:rsidP="002D6870">
            <w:pPr>
              <w:spacing w:after="80" w:line="276" w:lineRule="auto"/>
              <w:jc w:val="both"/>
              <w:rPr>
                <w:sz w:val="20"/>
                <w:szCs w:val="20"/>
              </w:rPr>
            </w:pPr>
            <w:r w:rsidRPr="00291FC6">
              <w:rPr>
                <w:rFonts w:cstheme="minorHAnsi"/>
              </w:rPr>
              <w:t>Konzultace nebo asistence, optimalizace a provádění úprav za účelem efektivnějšího, bezpečnějšího a komplexnějšího využívání.</w:t>
            </w:r>
            <w:r>
              <w:rPr>
                <w:sz w:val="20"/>
                <w:szCs w:val="20"/>
              </w:rPr>
              <w:t xml:space="preserve"> </w:t>
            </w:r>
          </w:p>
        </w:tc>
      </w:tr>
      <w:tr w:rsidR="00E93324" w:rsidRPr="0066390A" w14:paraId="575A035B" w14:textId="77777777" w:rsidTr="002D6870">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7F396163" w14:textId="77777777" w:rsidR="00E93324" w:rsidRPr="00D1738C" w:rsidRDefault="00E93324" w:rsidP="002D6870">
            <w:pPr>
              <w:keepLines/>
              <w:widowControl w:val="0"/>
              <w:spacing w:before="60" w:after="60" w:line="240" w:lineRule="auto"/>
              <w:rPr>
                <w:rFonts w:cs="Tahoma"/>
                <w:szCs w:val="20"/>
              </w:rPr>
            </w:pPr>
            <w:r w:rsidRPr="00D1738C">
              <w:rPr>
                <w:rFonts w:cs="Tahoma"/>
                <w:b/>
                <w:color w:val="FFFFFF" w:themeColor="background1"/>
                <w:szCs w:val="20"/>
              </w:rPr>
              <w:t>DEFINICE SLUŽBY A POŽADOVANÝCH ČINNOSTÍ</w:t>
            </w:r>
          </w:p>
        </w:tc>
      </w:tr>
      <w:tr w:rsidR="00E93324" w:rsidRPr="0066390A" w14:paraId="59C95BE8" w14:textId="77777777" w:rsidTr="002D6870">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333FA595" w14:textId="77777777" w:rsidR="00E93324" w:rsidRPr="00A40CAA" w:rsidRDefault="00E93324" w:rsidP="002D6870">
            <w:pPr>
              <w:spacing w:after="80" w:line="276" w:lineRule="auto"/>
              <w:jc w:val="both"/>
              <w:rPr>
                <w:rFonts w:cstheme="minorHAnsi"/>
              </w:rPr>
            </w:pPr>
            <w:r w:rsidRPr="00A40CAA">
              <w:rPr>
                <w:rFonts w:cstheme="minorHAnsi"/>
              </w:rPr>
              <w:t xml:space="preserve">Realizace rozvojových požadavků, zejména, nikoliv však výhradně, v následujících oblastech: </w:t>
            </w:r>
          </w:p>
          <w:p w14:paraId="2BC011B5" w14:textId="77777777" w:rsidR="00E93324" w:rsidRPr="00A40CAA" w:rsidRDefault="00E93324" w:rsidP="00E93324">
            <w:pPr>
              <w:pStyle w:val="Odstavecseseznamem"/>
              <w:numPr>
                <w:ilvl w:val="0"/>
                <w:numId w:val="13"/>
              </w:numPr>
              <w:spacing w:after="80" w:line="276" w:lineRule="auto"/>
              <w:jc w:val="both"/>
              <w:rPr>
                <w:rFonts w:cstheme="minorHAnsi"/>
              </w:rPr>
            </w:pPr>
            <w:r w:rsidRPr="00A40CAA">
              <w:rPr>
                <w:rFonts w:cstheme="minorHAnsi"/>
              </w:rPr>
              <w:t xml:space="preserve">Detailní analýzu požadavku. </w:t>
            </w:r>
          </w:p>
          <w:p w14:paraId="027418A9" w14:textId="77777777" w:rsidR="00E93324" w:rsidRPr="00A40CAA" w:rsidRDefault="00E93324" w:rsidP="00E93324">
            <w:pPr>
              <w:pStyle w:val="Odstavecseseznamem"/>
              <w:numPr>
                <w:ilvl w:val="0"/>
                <w:numId w:val="13"/>
              </w:numPr>
              <w:spacing w:after="80" w:line="276" w:lineRule="auto"/>
              <w:jc w:val="both"/>
              <w:rPr>
                <w:rFonts w:cstheme="minorHAnsi"/>
              </w:rPr>
            </w:pPr>
            <w:r w:rsidRPr="00A40CAA">
              <w:rPr>
                <w:rFonts w:cstheme="minorHAnsi"/>
              </w:rPr>
              <w:t xml:space="preserve">Realizaci na vývojovém prostředí Poskytovatele včetně důkladného otestování. </w:t>
            </w:r>
          </w:p>
          <w:p w14:paraId="3AE2BEF2" w14:textId="77777777" w:rsidR="00E93324" w:rsidRPr="00A40CAA" w:rsidRDefault="00E93324" w:rsidP="00E93324">
            <w:pPr>
              <w:pStyle w:val="Odstavecseseznamem"/>
              <w:numPr>
                <w:ilvl w:val="0"/>
                <w:numId w:val="13"/>
              </w:numPr>
              <w:spacing w:after="80" w:line="276" w:lineRule="auto"/>
              <w:jc w:val="both"/>
              <w:rPr>
                <w:rFonts w:cstheme="minorHAnsi"/>
              </w:rPr>
            </w:pPr>
            <w:r w:rsidRPr="00A40CAA">
              <w:rPr>
                <w:rFonts w:cstheme="minorHAnsi"/>
              </w:rPr>
              <w:t xml:space="preserve">Nasazení na testovací prostředí MZe. </w:t>
            </w:r>
          </w:p>
          <w:p w14:paraId="27C4228F" w14:textId="77777777" w:rsidR="00E93324" w:rsidRPr="00A40CAA" w:rsidRDefault="00E93324" w:rsidP="00E93324">
            <w:pPr>
              <w:pStyle w:val="Odstavecseseznamem"/>
              <w:numPr>
                <w:ilvl w:val="0"/>
                <w:numId w:val="13"/>
              </w:numPr>
              <w:spacing w:after="80" w:line="276" w:lineRule="auto"/>
              <w:jc w:val="both"/>
              <w:rPr>
                <w:rFonts w:cstheme="minorHAnsi"/>
              </w:rPr>
            </w:pPr>
            <w:r w:rsidRPr="00A40CAA">
              <w:rPr>
                <w:rFonts w:cstheme="minorHAnsi"/>
              </w:rPr>
              <w:t xml:space="preserve">Součinnost při testování a akceptaci. </w:t>
            </w:r>
          </w:p>
          <w:p w14:paraId="2A6E8DDC" w14:textId="77777777" w:rsidR="00E93324" w:rsidRPr="00A40CAA" w:rsidRDefault="00E93324" w:rsidP="00E93324">
            <w:pPr>
              <w:pStyle w:val="Odstavecseseznamem"/>
              <w:numPr>
                <w:ilvl w:val="0"/>
                <w:numId w:val="13"/>
              </w:numPr>
              <w:spacing w:after="80" w:line="276" w:lineRule="auto"/>
              <w:jc w:val="both"/>
              <w:rPr>
                <w:rFonts w:cstheme="minorHAnsi"/>
              </w:rPr>
            </w:pPr>
            <w:r w:rsidRPr="00A40CAA">
              <w:rPr>
                <w:rFonts w:cstheme="minorHAnsi"/>
              </w:rPr>
              <w:t xml:space="preserve">Nasazení z testovacího na produkční prostředí MZe. </w:t>
            </w:r>
          </w:p>
          <w:p w14:paraId="6E44F674" w14:textId="77777777" w:rsidR="00E93324" w:rsidRPr="00A40CAA" w:rsidRDefault="00E93324" w:rsidP="00E93324">
            <w:pPr>
              <w:pStyle w:val="Odstavecseseznamem"/>
              <w:numPr>
                <w:ilvl w:val="0"/>
                <w:numId w:val="13"/>
              </w:numPr>
              <w:spacing w:after="80" w:line="276" w:lineRule="auto"/>
              <w:jc w:val="both"/>
              <w:rPr>
                <w:rFonts w:cstheme="minorHAnsi"/>
              </w:rPr>
            </w:pPr>
            <w:r w:rsidRPr="00A40CAA">
              <w:rPr>
                <w:rFonts w:cstheme="minorHAnsi"/>
              </w:rPr>
              <w:t xml:space="preserve">Koordinaci s ostatními dodavateli a uživateli při nasazování úprav. </w:t>
            </w:r>
          </w:p>
          <w:p w14:paraId="66AFAF8F" w14:textId="77777777" w:rsidR="00E93324" w:rsidRPr="00A40CAA" w:rsidRDefault="00E93324" w:rsidP="00E93324">
            <w:pPr>
              <w:pStyle w:val="Odstavecseseznamem"/>
              <w:numPr>
                <w:ilvl w:val="0"/>
                <w:numId w:val="13"/>
              </w:numPr>
              <w:spacing w:after="80" w:line="276" w:lineRule="auto"/>
              <w:jc w:val="both"/>
              <w:rPr>
                <w:rFonts w:cstheme="minorHAnsi"/>
              </w:rPr>
            </w:pPr>
            <w:r w:rsidRPr="00A40CAA">
              <w:rPr>
                <w:rFonts w:cstheme="minorHAnsi"/>
              </w:rPr>
              <w:t xml:space="preserve">Součinnost při testování či nasazování změn souvisejících systémů. </w:t>
            </w:r>
          </w:p>
          <w:p w14:paraId="7CEEDEAE" w14:textId="77777777" w:rsidR="00E93324" w:rsidRPr="00A40CAA" w:rsidRDefault="00E93324" w:rsidP="00E93324">
            <w:pPr>
              <w:pStyle w:val="Odstavecseseznamem"/>
              <w:numPr>
                <w:ilvl w:val="0"/>
                <w:numId w:val="13"/>
              </w:numPr>
              <w:spacing w:after="80" w:line="276" w:lineRule="auto"/>
              <w:jc w:val="both"/>
              <w:rPr>
                <w:rFonts w:cstheme="minorHAnsi"/>
              </w:rPr>
            </w:pPr>
            <w:r w:rsidRPr="00A40CAA">
              <w:rPr>
                <w:rFonts w:cstheme="minorHAnsi"/>
              </w:rPr>
              <w:t xml:space="preserve">Konzultační služby v rámci přípravy změnového požadavku. </w:t>
            </w:r>
          </w:p>
          <w:p w14:paraId="72E1C254" w14:textId="77777777" w:rsidR="00E93324" w:rsidRDefault="00E93324" w:rsidP="002D6870">
            <w:pPr>
              <w:spacing w:after="80" w:line="276" w:lineRule="auto"/>
              <w:jc w:val="both"/>
              <w:rPr>
                <w:rFonts w:cstheme="minorHAnsi"/>
              </w:rPr>
            </w:pPr>
            <w:r w:rsidRPr="00291FC6">
              <w:rPr>
                <w:rFonts w:cstheme="minorHAnsi"/>
              </w:rPr>
              <w:t xml:space="preserve">Maximální rozsah jednoho plnění na základě ticketu v ServiceDesk nástroji je do </w:t>
            </w:r>
            <w:r>
              <w:rPr>
                <w:rFonts w:cstheme="minorHAnsi"/>
              </w:rPr>
              <w:t>5</w:t>
            </w:r>
            <w:r w:rsidRPr="00291FC6">
              <w:rPr>
                <w:rFonts w:cstheme="minorHAnsi"/>
              </w:rPr>
              <w:t xml:space="preserve">0 000 Kč bez DPH. </w:t>
            </w:r>
          </w:p>
          <w:p w14:paraId="59E8F9F0" w14:textId="77777777" w:rsidR="00E93324" w:rsidRPr="00A40CAA" w:rsidRDefault="00E93324" w:rsidP="002D6870">
            <w:pPr>
              <w:spacing w:after="80" w:line="276" w:lineRule="auto"/>
              <w:jc w:val="both"/>
              <w:rPr>
                <w:rFonts w:cstheme="minorHAnsi"/>
              </w:rPr>
            </w:pPr>
            <w:r w:rsidRPr="0065234C">
              <w:rPr>
                <w:szCs w:val="20"/>
              </w:rPr>
              <w:t xml:space="preserve">Dodávka této služby bude prováděna v souladu se zavedenými procesy vycházející z metodiky </w:t>
            </w:r>
            <w:r>
              <w:rPr>
                <w:szCs w:val="20"/>
              </w:rPr>
              <w:t>ITIL a Interní dokumentaci.</w:t>
            </w:r>
          </w:p>
        </w:tc>
      </w:tr>
    </w:tbl>
    <w:p w14:paraId="1CD7A674" w14:textId="77777777" w:rsidR="00E93324" w:rsidRDefault="00E93324" w:rsidP="00E93324"/>
    <w:p w14:paraId="799B15D0" w14:textId="77777777" w:rsidR="00E93324" w:rsidRDefault="00E93324"/>
    <w:sectPr w:rsidR="00E933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356D0"/>
    <w:multiLevelType w:val="hybridMultilevel"/>
    <w:tmpl w:val="4788A0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A36664D"/>
    <w:multiLevelType w:val="hybridMultilevel"/>
    <w:tmpl w:val="E2D8248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2" w15:restartNumberingAfterBreak="0">
    <w:nsid w:val="0A6A2E46"/>
    <w:multiLevelType w:val="hybridMultilevel"/>
    <w:tmpl w:val="F2C89D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C1E0416"/>
    <w:multiLevelType w:val="hybridMultilevel"/>
    <w:tmpl w:val="CB224EFC"/>
    <w:lvl w:ilvl="0" w:tplc="04050001">
      <w:numFmt w:val="decimal"/>
      <w:lvlText w:val=""/>
      <w:lvlJc w:val="left"/>
      <w:pPr>
        <w:ind w:left="720" w:hanging="360"/>
      </w:pPr>
      <w:rPr>
        <w:rFonts w:ascii="Symbol" w:hAnsi="Symbol" w:hint="default"/>
      </w:rPr>
    </w:lvl>
    <w:lvl w:ilvl="1" w:tplc="04050003">
      <w:numFmt w:val="decimal"/>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E785174"/>
    <w:multiLevelType w:val="hybridMultilevel"/>
    <w:tmpl w:val="215ADC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D054EC"/>
    <w:multiLevelType w:val="hybridMultilevel"/>
    <w:tmpl w:val="5CEE7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FF396C"/>
    <w:multiLevelType w:val="hybridMultilevel"/>
    <w:tmpl w:val="C2E6A29E"/>
    <w:lvl w:ilvl="0" w:tplc="201AD4D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BEA4F89"/>
    <w:multiLevelType w:val="hybridMultilevel"/>
    <w:tmpl w:val="DE82C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7346550"/>
    <w:multiLevelType w:val="hybridMultilevel"/>
    <w:tmpl w:val="E370E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8BD3EF8"/>
    <w:multiLevelType w:val="hybridMultilevel"/>
    <w:tmpl w:val="BF76A9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4A887B98"/>
    <w:multiLevelType w:val="hybridMultilevel"/>
    <w:tmpl w:val="54D00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6C56C5"/>
    <w:multiLevelType w:val="hybridMultilevel"/>
    <w:tmpl w:val="FEAA5C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9AD1423"/>
    <w:multiLevelType w:val="hybridMultilevel"/>
    <w:tmpl w:val="55B0D4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6DD97FA4"/>
    <w:multiLevelType w:val="hybridMultilevel"/>
    <w:tmpl w:val="F52069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2E80DA4"/>
    <w:multiLevelType w:val="hybridMultilevel"/>
    <w:tmpl w:val="F98AE3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701779903">
    <w:abstractNumId w:val="10"/>
  </w:num>
  <w:num w:numId="2" w16cid:durableId="1630474848">
    <w:abstractNumId w:val="5"/>
  </w:num>
  <w:num w:numId="3" w16cid:durableId="564146172">
    <w:abstractNumId w:val="11"/>
  </w:num>
  <w:num w:numId="4" w16cid:durableId="472916913">
    <w:abstractNumId w:val="12"/>
  </w:num>
  <w:num w:numId="5" w16cid:durableId="150290558">
    <w:abstractNumId w:val="14"/>
  </w:num>
  <w:num w:numId="6" w16cid:durableId="1431314991">
    <w:abstractNumId w:val="2"/>
  </w:num>
  <w:num w:numId="7" w16cid:durableId="726270728">
    <w:abstractNumId w:val="4"/>
  </w:num>
  <w:num w:numId="8" w16cid:durableId="1187713503">
    <w:abstractNumId w:val="1"/>
  </w:num>
  <w:num w:numId="9" w16cid:durableId="2006277965">
    <w:abstractNumId w:val="9"/>
  </w:num>
  <w:num w:numId="10" w16cid:durableId="917984739">
    <w:abstractNumId w:val="6"/>
  </w:num>
  <w:num w:numId="11" w16cid:durableId="1590041229">
    <w:abstractNumId w:val="7"/>
  </w:num>
  <w:num w:numId="12" w16cid:durableId="1371538602">
    <w:abstractNumId w:val="0"/>
  </w:num>
  <w:num w:numId="13" w16cid:durableId="569343020">
    <w:abstractNumId w:val="3"/>
  </w:num>
  <w:num w:numId="14" w16cid:durableId="452098285">
    <w:abstractNumId w:val="13"/>
  </w:num>
  <w:num w:numId="15" w16cid:durableId="18872575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1F3"/>
    <w:rsid w:val="000424FB"/>
    <w:rsid w:val="00047B95"/>
    <w:rsid w:val="00130B03"/>
    <w:rsid w:val="00166969"/>
    <w:rsid w:val="00354645"/>
    <w:rsid w:val="00360AFC"/>
    <w:rsid w:val="003A2C40"/>
    <w:rsid w:val="003B2BCA"/>
    <w:rsid w:val="003B4585"/>
    <w:rsid w:val="005E52C8"/>
    <w:rsid w:val="006D320A"/>
    <w:rsid w:val="007701F3"/>
    <w:rsid w:val="0082192F"/>
    <w:rsid w:val="009132CB"/>
    <w:rsid w:val="0097004E"/>
    <w:rsid w:val="00E574D8"/>
    <w:rsid w:val="00E93324"/>
    <w:rsid w:val="00EA26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459A6"/>
  <w15:chartTrackingRefBased/>
  <w15:docId w15:val="{A214EAE3-BFE6-46D0-856A-B5678A645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01F3"/>
    <w:rPr>
      <w:kern w:val="0"/>
      <w14:ligatures w14:val="none"/>
    </w:rPr>
  </w:style>
  <w:style w:type="paragraph" w:styleId="Nadpis1">
    <w:name w:val="heading 1"/>
    <w:basedOn w:val="Normln"/>
    <w:next w:val="Normln"/>
    <w:link w:val="Nadpis1Char"/>
    <w:uiPriority w:val="9"/>
    <w:qFormat/>
    <w:rsid w:val="007701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7701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701F3"/>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701F3"/>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701F3"/>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701F3"/>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701F3"/>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701F3"/>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701F3"/>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701F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7701F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701F3"/>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701F3"/>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701F3"/>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701F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701F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701F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701F3"/>
    <w:rPr>
      <w:rFonts w:eastAsiaTheme="majorEastAsia" w:cstheme="majorBidi"/>
      <w:color w:val="272727" w:themeColor="text1" w:themeTint="D8"/>
    </w:rPr>
  </w:style>
  <w:style w:type="paragraph" w:styleId="Nzev">
    <w:name w:val="Title"/>
    <w:basedOn w:val="Normln"/>
    <w:next w:val="Normln"/>
    <w:link w:val="NzevChar"/>
    <w:uiPriority w:val="10"/>
    <w:qFormat/>
    <w:rsid w:val="007701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701F3"/>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701F3"/>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701F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701F3"/>
    <w:pPr>
      <w:spacing w:before="160"/>
      <w:jc w:val="center"/>
    </w:pPr>
    <w:rPr>
      <w:i/>
      <w:iCs/>
      <w:color w:val="404040" w:themeColor="text1" w:themeTint="BF"/>
    </w:rPr>
  </w:style>
  <w:style w:type="character" w:customStyle="1" w:styleId="CittChar">
    <w:name w:val="Citát Char"/>
    <w:basedOn w:val="Standardnpsmoodstavce"/>
    <w:link w:val="Citt"/>
    <w:uiPriority w:val="29"/>
    <w:rsid w:val="007701F3"/>
    <w:rPr>
      <w:i/>
      <w:iCs/>
      <w:color w:val="404040" w:themeColor="text1" w:themeTint="BF"/>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Nad"/>
    <w:basedOn w:val="Normln"/>
    <w:link w:val="OdstavecseseznamemChar"/>
    <w:uiPriority w:val="34"/>
    <w:qFormat/>
    <w:rsid w:val="007701F3"/>
    <w:pPr>
      <w:ind w:left="720"/>
      <w:contextualSpacing/>
    </w:pPr>
  </w:style>
  <w:style w:type="character" w:styleId="Zdraznnintenzivn">
    <w:name w:val="Intense Emphasis"/>
    <w:basedOn w:val="Standardnpsmoodstavce"/>
    <w:uiPriority w:val="21"/>
    <w:qFormat/>
    <w:rsid w:val="007701F3"/>
    <w:rPr>
      <w:i/>
      <w:iCs/>
      <w:color w:val="0F4761" w:themeColor="accent1" w:themeShade="BF"/>
    </w:rPr>
  </w:style>
  <w:style w:type="paragraph" w:styleId="Vrazncitt">
    <w:name w:val="Intense Quote"/>
    <w:basedOn w:val="Normln"/>
    <w:next w:val="Normln"/>
    <w:link w:val="VrazncittChar"/>
    <w:uiPriority w:val="30"/>
    <w:qFormat/>
    <w:rsid w:val="007701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701F3"/>
    <w:rPr>
      <w:i/>
      <w:iCs/>
      <w:color w:val="0F4761" w:themeColor="accent1" w:themeShade="BF"/>
    </w:rPr>
  </w:style>
  <w:style w:type="character" w:styleId="Odkazintenzivn">
    <w:name w:val="Intense Reference"/>
    <w:basedOn w:val="Standardnpsmoodstavce"/>
    <w:uiPriority w:val="32"/>
    <w:qFormat/>
    <w:rsid w:val="007701F3"/>
    <w:rPr>
      <w:b/>
      <w:bCs/>
      <w:smallCaps/>
      <w:color w:val="0F4761" w:themeColor="accent1" w:themeShade="BF"/>
      <w:spacing w:val="5"/>
    </w:rPr>
  </w:style>
  <w:style w:type="paragraph" w:styleId="Zkladntext">
    <w:name w:val="Body Text"/>
    <w:basedOn w:val="Normln"/>
    <w:link w:val="ZkladntextChar"/>
    <w:uiPriority w:val="99"/>
    <w:unhideWhenUsed/>
    <w:rsid w:val="007701F3"/>
    <w:pPr>
      <w:spacing w:after="120"/>
    </w:pPr>
  </w:style>
  <w:style w:type="character" w:customStyle="1" w:styleId="ZkladntextChar">
    <w:name w:val="Základní text Char"/>
    <w:basedOn w:val="Standardnpsmoodstavce"/>
    <w:link w:val="Zkladntext"/>
    <w:uiPriority w:val="99"/>
    <w:rsid w:val="007701F3"/>
    <w:rPr>
      <w:kern w:val="0"/>
      <w14:ligatures w14:val="none"/>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qFormat/>
    <w:locked/>
    <w:rsid w:val="007701F3"/>
  </w:style>
  <w:style w:type="character" w:styleId="Odkaznakoment">
    <w:name w:val="annotation reference"/>
    <w:basedOn w:val="Standardnpsmoodstavce"/>
    <w:uiPriority w:val="99"/>
    <w:semiHidden/>
    <w:unhideWhenUsed/>
    <w:rsid w:val="007701F3"/>
    <w:rPr>
      <w:sz w:val="16"/>
      <w:szCs w:val="16"/>
    </w:rPr>
  </w:style>
  <w:style w:type="paragraph" w:styleId="Textkomente">
    <w:name w:val="annotation text"/>
    <w:basedOn w:val="Normln"/>
    <w:link w:val="TextkomenteChar"/>
    <w:uiPriority w:val="99"/>
    <w:unhideWhenUsed/>
    <w:rsid w:val="007701F3"/>
    <w:pPr>
      <w:spacing w:line="240" w:lineRule="auto"/>
    </w:pPr>
    <w:rPr>
      <w:sz w:val="20"/>
      <w:szCs w:val="20"/>
    </w:rPr>
  </w:style>
  <w:style w:type="character" w:customStyle="1" w:styleId="TextkomenteChar">
    <w:name w:val="Text komentáře Char"/>
    <w:basedOn w:val="Standardnpsmoodstavce"/>
    <w:link w:val="Textkomente"/>
    <w:uiPriority w:val="99"/>
    <w:rsid w:val="007701F3"/>
    <w:rPr>
      <w:kern w:val="0"/>
      <w:sz w:val="20"/>
      <w:szCs w:val="20"/>
      <w14:ligatures w14:val="none"/>
    </w:rPr>
  </w:style>
  <w:style w:type="paragraph" w:styleId="Pedmtkomente">
    <w:name w:val="annotation subject"/>
    <w:basedOn w:val="Textkomente"/>
    <w:next w:val="Textkomente"/>
    <w:link w:val="PedmtkomenteChar"/>
    <w:uiPriority w:val="99"/>
    <w:semiHidden/>
    <w:unhideWhenUsed/>
    <w:rsid w:val="007701F3"/>
    <w:rPr>
      <w:b/>
      <w:bCs/>
    </w:rPr>
  </w:style>
  <w:style w:type="character" w:customStyle="1" w:styleId="PedmtkomenteChar">
    <w:name w:val="Předmět komentáře Char"/>
    <w:basedOn w:val="TextkomenteChar"/>
    <w:link w:val="Pedmtkomente"/>
    <w:uiPriority w:val="99"/>
    <w:semiHidden/>
    <w:rsid w:val="007701F3"/>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8</Pages>
  <Words>1735</Words>
  <Characters>10240</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Honsová Petra</dc:creator>
  <cp:keywords/>
  <dc:description/>
  <cp:lastModifiedBy>Rozkovec Hynek</cp:lastModifiedBy>
  <cp:revision>5</cp:revision>
  <dcterms:created xsi:type="dcterms:W3CDTF">2024-05-03T08:38:00Z</dcterms:created>
  <dcterms:modified xsi:type="dcterms:W3CDTF">2024-05-28T13:52:00Z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d01bb0b-c2f5-4fc4-bac5-774fe7d62679_Enabled">
    <vt:lpwstr>true</vt:lpwstr>
  </property>
  <property fmtid="{D5CDD505-2E9C-101B-9397-08002B2CF9AE}" pid="3" name="MSIP_Label_8d01bb0b-c2f5-4fc4-bac5-774fe7d62679_SetDate">
    <vt:lpwstr>2024-05-28T13:52:50Z</vt:lpwstr>
  </property>
  <property fmtid="{D5CDD505-2E9C-101B-9397-08002B2CF9AE}" pid="4" name="MSIP_Label_8d01bb0b-c2f5-4fc4-bac5-774fe7d62679_Method">
    <vt:lpwstr>Privileged</vt:lpwstr>
  </property>
  <property fmtid="{D5CDD505-2E9C-101B-9397-08002B2CF9AE}" pid="5" name="MSIP_Label_8d01bb0b-c2f5-4fc4-bac5-774fe7d62679_Name">
    <vt:lpwstr>Veřejné</vt:lpwstr>
  </property>
  <property fmtid="{D5CDD505-2E9C-101B-9397-08002B2CF9AE}" pid="6" name="MSIP_Label_8d01bb0b-c2f5-4fc4-bac5-774fe7d62679_SiteId">
    <vt:lpwstr>e84ea0de-38e7-4864-b153-a909a7746ff0</vt:lpwstr>
  </property>
  <property fmtid="{D5CDD505-2E9C-101B-9397-08002B2CF9AE}" pid="7" name="MSIP_Label_8d01bb0b-c2f5-4fc4-bac5-774fe7d62679_ActionId">
    <vt:lpwstr>986be6db-31cb-40dc-ae3b-b6f8ed4a8db1</vt:lpwstr>
  </property>
  <property fmtid="{D5CDD505-2E9C-101B-9397-08002B2CF9AE}" pid="8" name="MSIP_Label_8d01bb0b-c2f5-4fc4-bac5-774fe7d62679_ContentBits">
    <vt:lpwstr>0</vt:lpwstr>
  </property>
</Properties>
</file>